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Sydney</w:t>
      </w:r>
    </w:p>
    <w:bookmarkStart w:id="31" w:name="X2d70e25c71808c2d184d3d03b9e675891e22a48"/>
    <w:p>
      <w:pPr>
        <w:pStyle w:val="Heading1"/>
      </w:pPr>
      <w:r>
        <w:t xml:space="preserve">The Evolving Role of the University Lecturer in Australia, Sydney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Sydney, New South Wales, Australia</w:t>
      </w:r>
      <w:r>
        <w:br/>
      </w:r>
      <w:r>
        <w:rPr>
          <w:bCs/>
          <w:b/>
        </w:rPr>
        <w:t xml:space="preserve">Type:</w:t>
      </w:r>
    </w:p>
    <w:p>
      <w:pPr>
        <w:pStyle w:val="BodyText"/>
      </w:pPr>
      <w:r>
        <w:t xml:space="preserve">This case study examines the multifaceted responsibilities of a University Lecturer within the higher education sector in Australia, specifically focusing on the dynamic academic landscape of Sydney. It explores how geographical context, institutional pressure, and pedagogical shifts define this profession.</w:t>
      </w:r>
    </w:p>
    <w:bookmarkStart w:id="20" w:name="introduction"/>
    <w:p>
      <w:pPr>
        <w:pStyle w:val="Heading2"/>
      </w:pPr>
      <w:r>
        <w:t xml:space="preserve">1. Introduction</w:t>
      </w:r>
    </w:p>
    <w:p>
      <w:pPr>
        <w:pStyle w:val="FirstParagraph"/>
      </w:pPr>
      <w:r>
        <w:t xml:space="preserve">Sydney stands as one of the premier global cities for tertiary education in Australia. Home to world-renowned institutions such as the University of Sydney, UNSW Sydney, and Macquarie University, it serves as a critical hub for international students and domestic academic excellence. Within this vibrant ecosystem, the role of a</w:t>
      </w:r>
      <w:r>
        <w:t xml:space="preserve"> </w:t>
      </w:r>
      <w:r>
        <w:rPr>
          <w:bCs/>
          <w:b/>
        </w:rPr>
        <w:t xml:space="preserve">University Lecturer</w:t>
      </w:r>
      <w:r>
        <w:t xml:space="preserve"> </w:t>
      </w:r>
      <w:r>
        <w:t xml:space="preserve">is far more complex than that of a mere transmitter of knowledge. In</w:t>
      </w:r>
      <w:r>
        <w:t xml:space="preserve"> </w:t>
      </w:r>
      <w:r>
        <w:rPr>
          <w:bCs/>
          <w:b/>
        </w:rPr>
        <w:t xml:space="preserve">Australia Sydney</w:t>
      </w:r>
      <w:r>
        <w:t xml:space="preserve">, the lecturer operates at the intersection of rigorous academic standards, high-stakes research expectations, and intense student support requirements.</w:t>
      </w:r>
    </w:p>
    <w:p>
      <w:pPr>
        <w:pStyle w:val="BodyText"/>
      </w:pPr>
      <w:r>
        <w:t xml:space="preserve">This document serves as a comprehensive case study to understand the daily realities, strategic challenges, and professional mandates facing University Lecturers in this specific geographic region. By analyzing these factors, stakeholders can better understand how the unique environment of Sydney influences pedagogical strategies and career trajectories.</w:t>
      </w:r>
    </w:p>
    <w:bookmarkEnd w:id="20"/>
    <w:bookmarkStart w:id="21" w:name="X3dd0379e4f4248ac6ab161114af7ed63e9aa904"/>
    <w:p>
      <w:pPr>
        <w:pStyle w:val="Heading2"/>
      </w:pPr>
      <w:r>
        <w:t xml:space="preserve">2. Contextual Background: The Sydney Academic Landscape</w:t>
      </w:r>
    </w:p>
    <w:p>
      <w:pPr>
        <w:pStyle w:val="FirstParagraph"/>
      </w:pPr>
      <w:r>
        <w:t xml:space="preserve">To fully appreciate the role of a University Lecturer in Australia, one must first understand the context of</w:t>
      </w:r>
      <w:r>
        <w:t xml:space="preserve"> </w:t>
      </w:r>
      <w:r>
        <w:rPr>
          <w:bCs/>
          <w:b/>
        </w:rPr>
        <w:t xml:space="preserve">Australia Sydney</w:t>
      </w:r>
      <w:r>
        <w:t xml:space="preserve">. Unlike other Australian cities, Sydney is characterized by a dense concentration of major research-intensive universities competing for global talent and international student fees. This competition drives an aggressive focus on international rankings and employability outcomes.</w:t>
      </w:r>
    </w:p>
    <w:p>
      <w:pPr>
        <w:pStyle w:val="BodyText"/>
      </w:pPr>
      <w:r>
        <w:t xml:space="preserve">The University Lecturer in this setting operates within the "Triple Bottom Line" framework:</w:t>
      </w:r>
    </w:p>
    <w:p>
      <w:pPr>
        <w:numPr>
          <w:ilvl w:val="0"/>
          <w:numId w:val="1001"/>
        </w:numPr>
        <w:pStyle w:val="Compact"/>
      </w:pPr>
      <w:r>
        <w:rPr>
          <w:bCs/>
          <w:b/>
        </w:rPr>
        <w:t xml:space="preserve">Pedagogy:</w:t>
      </w:r>
      <w:r>
        <w:t xml:space="preserve"> </w:t>
      </w:r>
      <w:r>
        <w:t xml:space="preserve">Delivering high-quality teaching to diverse cohorts, including a significant percentage of domestic and international students.</w:t>
      </w:r>
    </w:p>
    <w:p>
      <w:pPr>
        <w:numPr>
          <w:ilvl w:val="0"/>
          <w:numId w:val="1001"/>
        </w:numPr>
        <w:pStyle w:val="Compact"/>
      </w:pPr>
      <w:r>
        <w:rPr>
          <w:bCs/>
          <w:b/>
        </w:rPr>
        <w:t xml:space="preserve">Research:</w:t>
      </w:r>
      <w:r>
        <w:t xml:space="preserve"> </w:t>
      </w:r>
      <w:r>
        <w:t xml:space="preserve">The requirement to publish in high-impact journals (ERA rated) and secure external research grants (ARC Discovery Grants).</w:t>
      </w:r>
    </w:p>
    <w:p>
      <w:pPr>
        <w:numPr>
          <w:ilvl w:val="0"/>
          <w:numId w:val="1001"/>
        </w:numPr>
        <w:pStyle w:val="Compact"/>
      </w:pPr>
      <w:r>
        <w:rPr>
          <w:bCs/>
          <w:b/>
        </w:rPr>
        <w:t xml:space="preserve">Governance/Service:</w:t>
      </w:r>
      <w:r>
        <w:t xml:space="preserve"> </w:t>
      </w:r>
      <w:r>
        <w:t xml:space="preserve">Institutional administration, peer review, and community engagement.</w:t>
      </w:r>
    </w:p>
    <w:p>
      <w:pPr>
        <w:pStyle w:val="FirstParagraph"/>
      </w:pPr>
      <w:r>
        <w:t xml:space="preserve">In Sydney, the pressure to balance these three pillars is intensified by the city's fast-paced commercial environment. Many universities in Australia Sydney have strong ties to industry partners located within the Central Business District (CBD) and tech hubs like Macquarie Park. Consequently, University Lecturers are increasingly expected to bridge academia with industry.</w:t>
      </w:r>
    </w:p>
    <w:bookmarkEnd w:id="21"/>
    <w:bookmarkStart w:id="23" w:name="case-profile-the-modern-academic"/>
    <w:p>
      <w:pPr>
        <w:pStyle w:val="Heading2"/>
      </w:pPr>
      <w:r>
        <w:t xml:space="preserve">3. Case Profile: The Modern Academic</w:t>
      </w:r>
    </w:p>
    <w:bookmarkStart w:id="22" w:name="X042bb4eaabce0957b0df392008f9153426a5303"/>
    <w:p>
      <w:pPr>
        <w:pStyle w:val="Heading3"/>
      </w:pPr>
      <w:r>
        <w:rPr>
          <w:bCs/>
          <w:b/>
        </w:rPr>
        <w:t xml:space="preserve">Name:</w:t>
      </w:r>
      <w:r>
        <w:t xml:space="preserve"> </w:t>
      </w:r>
      <w:r>
        <w:t xml:space="preserve">Dr. Elena Rossi (Pseudonym)</w:t>
      </w:r>
      <w:r>
        <w:br/>
      </w:r>
      <w:r>
        <w:rPr>
          <w:bCs/>
          <w:b/>
        </w:rPr>
        <w:t xml:space="preserve">Institution Type:</w:t>
      </w:r>
      <w:r>
        <w:t xml:space="preserve"> </w:t>
      </w:r>
      <w:r>
        <w:t xml:space="preserve">Rounded University Group (RUG) in Sydney</w:t>
      </w:r>
      <w:r>
        <w:br/>
      </w:r>
      <w:r>
        <w:rPr>
          <w:bCs/>
          <w:b/>
        </w:rPr>
        <w:t xml:space="preserve">Degree Level:</w:t>
      </w:r>
      <w:r>
        <w:t xml:space="preserve"> </w:t>
      </w:r>
      <w:r>
        <w:t xml:space="preserve">Mixed undergraduate and postgraduate coursework</w:t>
      </w:r>
    </w:p>
    <w:p>
      <w:pPr>
        <w:pStyle w:val="FirstParagraph"/>
      </w:pPr>
      <w:r>
        <w:t xml:space="preserve">Dr. Rossi is a mid-career University Lecturer specializing in Environmental Science. Her experience provides a microcosm for the broader trends affecting lecturers across</w:t>
      </w:r>
      <w:r>
        <w:t xml:space="preserve"> </w:t>
      </w:r>
      <w:r>
        <w:rPr>
          <w:bCs/>
          <w:b/>
        </w:rPr>
        <w:t xml:space="preserve">Australia Sydney</w:t>
      </w:r>
      <w:r>
        <w:t xml:space="preserve">.</w:t>
      </w:r>
    </w:p>
    <w:bookmarkEnd w:id="22"/>
    <w:bookmarkEnd w:id="23"/>
    <w:bookmarkStart w:id="27" w:name="key-challenges-identified"/>
    <w:p>
      <w:pPr>
        <w:pStyle w:val="Heading2"/>
      </w:pPr>
      <w:r>
        <w:t xml:space="preserve">4. Key Challenges Identified</w:t>
      </w:r>
    </w:p>
    <w:bookmarkStart w:id="24" w:name="Xdb3c7a0399e3359dac5373f728d572f7094ac0a"/>
    <w:p>
      <w:pPr>
        <w:pStyle w:val="Heading3"/>
      </w:pPr>
      <w:r>
        <w:t xml:space="preserve">A. The Teaching-Research Nexus under Pressure</w:t>
      </w:r>
    </w:p>
    <w:p>
      <w:pPr>
        <w:pStyle w:val="FirstParagraph"/>
      </w:pPr>
      <w:r>
        <w:t xml:space="preserve">In Sydney, universities are highly metrics-driven. University Lecturers are evaluated based on the Research Excellence Framework (REF) equivalents and teaching satisfaction scores (Student Evaluation of Teaching - SETs). Dr. Rossi notes that the "publish or perish" culture is palpable. While she loves teaching her students about climate resilience—a topic highly relevant to Australian coastal geography—she spends approximately 40% of her administrative time preparing grant applications rather than developing course materials.</w:t>
      </w:r>
    </w:p>
    <w:bookmarkEnd w:id="24"/>
    <w:bookmarkStart w:id="25" w:name="b.-managing-diversity-in-the-classroom"/>
    <w:p>
      <w:pPr>
        <w:pStyle w:val="Heading3"/>
      </w:pPr>
      <w:r>
        <w:t xml:space="preserve">B. Managing Diversity in the Classroom</w:t>
      </w:r>
    </w:p>
    <w:p>
      <w:pPr>
        <w:pStyle w:val="FirstParagraph"/>
      </w:pPr>
      <w:r>
        <w:t xml:space="preserve">Australia Sydney universities host a massive international student population. This diversity enriches the classroom but introduces significant challenges for University Lecturers regarding English language proficiency support and cultural adaptation. Dr. Rossi reports spending considerable office hours supporting students who struggle with academic literacy, effectively blurring the line between lecturer and academic counselor.</w:t>
      </w:r>
    </w:p>
    <w:bookmarkEnd w:id="25"/>
    <w:bookmarkStart w:id="26" w:name="Xab670c2eef02f7840115a33f3301233ff78c71f"/>
    <w:p>
      <w:pPr>
        <w:pStyle w:val="Heading3"/>
      </w:pPr>
      <w:r>
        <w:t xml:space="preserve">C. Administrative Burden in a Global City</w:t>
      </w:r>
    </w:p>
    <w:p>
      <w:pPr>
        <w:pStyle w:val="FirstParagraph"/>
      </w:pPr>
      <w:r>
        <w:t xml:space="preserve">The commercial nature of education in Sydney means that every course is viewed through a customer-service lens. University Lecturers are required to manage "student experience" meticulously, adhering to strict deadlines and feedback protocols imposed by the university's central administration systems.</w:t>
      </w:r>
    </w:p>
    <w:bookmarkEnd w:id="26"/>
    <w:bookmarkEnd w:id="27"/>
    <w:bookmarkStart w:id="28" w:name="pedagogical-strategies-and-adaptations"/>
    <w:p>
      <w:pPr>
        <w:pStyle w:val="Heading2"/>
      </w:pPr>
      <w:r>
        <w:t xml:space="preserve">5. Pedagogical Strategies and Adaptations</w:t>
      </w:r>
    </w:p>
    <w:p>
      <w:pPr>
        <w:pStyle w:val="FirstParagraph"/>
      </w:pPr>
      <w:r>
        <w:t xml:space="preserve">To cope with these pressures, University Lecturers in Australia Sydney have adopted specific strategies:</w:t>
      </w:r>
    </w:p>
    <w:p>
      <w:pPr>
        <w:numPr>
          <w:ilvl w:val="0"/>
          <w:numId w:val="1002"/>
        </w:numPr>
        <w:pStyle w:val="Compact"/>
      </w:pPr>
      <w:r>
        <w:rPr>
          <w:bCs/>
          <w:b/>
        </w:rPr>
        <w:t xml:space="preserve">Digital Integration:</w:t>
      </w:r>
      <w:r>
        <w:t xml:space="preserve"> </w:t>
      </w:r>
      <w:r>
        <w:t xml:space="preserve">Leveraging Learning Management Systems (LMS) like Canvas or Moodle to pre-record lectures, freeing up face-to-face time for active learning. This is crucial in large Sydney lecture theatres where engagement can be difficult.</w:t>
      </w:r>
    </w:p>
    <w:p>
      <w:pPr>
        <w:numPr>
          <w:ilvl w:val="0"/>
          <w:numId w:val="1002"/>
        </w:numPr>
        <w:pStyle w:val="Compact"/>
      </w:pPr>
      <w:r>
        <w:rPr>
          <w:bCs/>
          <w:b/>
        </w:rPr>
        <w:t xml:space="preserve">Work-Integrated Learning (WIL):</w:t>
      </w:r>
      <w:r>
        <w:t xml:space="preserve"> </w:t>
      </w:r>
      <w:r>
        <w:t xml:space="preserve">Sydney offers unique opportunities for industry placement. Lecturers actively curate partnerships with local NGOs and government bodies, requiring them to network professionally outside of academia.</w:t>
      </w:r>
    </w:p>
    <w:p>
      <w:pPr>
        <w:numPr>
          <w:ilvl w:val="0"/>
          <w:numId w:val="1002"/>
        </w:numPr>
        <w:pStyle w:val="Compact"/>
      </w:pPr>
      <w:r>
        <w:rPr>
          <w:bCs/>
          <w:b/>
        </w:rPr>
        <w:t xml:space="preserve">Cultural Competency:</w:t>
      </w:r>
      <w:r>
        <w:t xml:space="preserve"> </w:t>
      </w:r>
      <w:r>
        <w:t xml:space="preserve">Lecturers are undergoing mandatory training to support Indigenous Australian knowledge integration (Reconciliation Action Plans) and global inclusivity.</w:t>
      </w:r>
    </w:p>
    <w:bookmarkEnd w:id="28"/>
    <w:bookmarkStart w:id="29" w:name="X8f355289942f8d4c201e8d903abaccd1d1dbbdb"/>
    <w:p>
      <w:pPr>
        <w:pStyle w:val="Heading2"/>
      </w:pPr>
      <w:r>
        <w:t xml:space="preserve">6. Institutional Impact and Strategic Implications</w:t>
      </w:r>
    </w:p>
    <w:p>
      <w:pPr>
        <w:pStyle w:val="FirstParagraph"/>
      </w:pPr>
      <w:r>
        <w:t xml:space="preserve">The sustainability of higher education in Australia Sydney relies heavily on the retention of skilled University Lecturers. High turnover rates, driven by casualization (the use of contract-based teaching staff) and burnout, threaten institutional stability.</w:t>
      </w:r>
    </w:p>
    <w:p>
      <w:pPr>
        <w:pStyle w:val="BodyText"/>
      </w:pPr>
      <w:r>
        <w:rPr>
          <w:bCs/>
          <w:b/>
        </w:rPr>
        <w:t xml:space="preserve">Strategic Recommendations:</w:t>
      </w:r>
    </w:p>
    <w:p>
      <w:pPr>
        <w:numPr>
          <w:ilvl w:val="0"/>
          <w:numId w:val="1003"/>
        </w:numPr>
        <w:pStyle w:val="Compact"/>
      </w:pPr>
      <w:r>
        <w:rPr>
          <w:bCs/>
          <w:b/>
        </w:rPr>
        <w:t xml:space="preserve">Balanced KPIs:</w:t>
      </w:r>
      <w:r>
        <w:t xml:space="preserve"> </w:t>
      </w:r>
      <w:r>
        <w:t xml:space="preserve">Sydney universities must adjust weighting towards teaching excellence to reduce the research burden on mid-career lecturers.</w:t>
      </w:r>
    </w:p>
    <w:p>
      <w:pPr>
        <w:numPr>
          <w:ilvl w:val="0"/>
          <w:numId w:val="1003"/>
        </w:numPr>
        <w:pStyle w:val="Compact"/>
      </w:pPr>
      <w:r>
        <w:rPr>
          <w:bCs/>
          <w:b/>
        </w:rPr>
        <w:t xml:space="preserve">Mentorship Programs:</w:t>
      </w:r>
      <w:r>
        <w:t xml:space="preserve"> </w:t>
      </w:r>
      <w:r>
        <w:t xml:space="preserve">New University Lecturers require robust support systems to navigate the complex administrative landscape of Australian higher education.</w:t>
      </w:r>
    </w:p>
    <w:p>
      <w:pPr>
        <w:numPr>
          <w:ilvl w:val="0"/>
          <w:numId w:val="1003"/>
        </w:numPr>
        <w:pStyle w:val="Compact"/>
      </w:pPr>
      <w:r>
        <w:rPr>
          <w:bCs/>
          <w:b/>
        </w:rPr>
        <w:t xml:space="preserve">Wellbeing Initiatives:</w:t>
      </w:r>
      <w:r>
        <w:t xml:space="preserve"> </w:t>
      </w:r>
      <w:r>
        <w:t xml:space="preserve">Mental health support is critical, given the high-stress environment of maintaining international student satisfaction while conducting research.</w:t>
      </w:r>
    </w:p>
    <w:bookmarkEnd w:id="29"/>
    <w:bookmarkStart w:id="30" w:name="conclusion"/>
    <w:p>
      <w:pPr>
        <w:pStyle w:val="Heading2"/>
      </w:pPr>
      <w:r>
        <w:t xml:space="preserve">7. Conclusion</w:t>
      </w:r>
    </w:p>
    <w:p>
      <w:pPr>
        <w:pStyle w:val="FirstParagraph"/>
      </w:pPr>
      <w:r>
        <w:t xml:space="preserve">The role of a University Lecturer in Australia Sydney is one of intense duality. These academics are scholars who must innovate in research, educators who must cater to diverse global needs, and professionals who must navigate the commercial realities of a major world city.</w:t>
      </w:r>
    </w:p>
    <w:p>
      <w:pPr>
        <w:pStyle w:val="BodyText"/>
      </w:pPr>
      <w:r>
        <w:t xml:space="preserve">This case study highlights that while the prestige associated with being a University Lecturer in Sydney remains high, the day-to-day reality involves navigating complex systemic pressures. For institutions aiming to maintain their standing in the Asia-Pacific region, investing in the wellbeing and professional development of these lecturers is not just an HR initiative; it is an academic imperative.</w:t>
      </w:r>
    </w:p>
    <w:p>
      <w:pPr>
        <w:pStyle w:val="BodyText"/>
      </w:pPr>
      <w:r>
        <w:t xml:space="preserve">Ultimately, understanding this case study provides valuable insight into how geography (</w:t>
      </w:r>
      <w:r>
        <w:rPr>
          <w:bCs/>
          <w:b/>
        </w:rPr>
        <w:t xml:space="preserve">Australia Sydney</w:t>
      </w:r>
      <w:r>
        <w:t xml:space="preserve">) shapes professional identity and operational demands for academics today. The future of education in this region depends on recognizing the human element behind the metrics.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University Lecturer in Australia, Sydney</dc:title>
  <dc:creator/>
  <dc:language>en</dc:language>
  <cp:keywords/>
  <dcterms:created xsi:type="dcterms:W3CDTF">2026-07-29T07:55:56Z</dcterms:created>
  <dcterms:modified xsi:type="dcterms:W3CDTF">2026-07-29T07:55:56Z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