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29" w:name="X3601f752618f20f22e1182616486d812639aeda"/>
    <w:p>
      <w:pPr>
        <w:pStyle w:val="Heading1"/>
      </w:pPr>
      <w:r>
        <w:t xml:space="preserve">CASE STUDY PROFILE:</w:t>
      </w:r>
      <w:r>
        <w:br/>
      </w:r>
      <w:r>
        <w:t xml:space="preserve">University Lecturer in China Guangzhou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 Analysis</w:t>
      </w:r>
      <w:r>
        <w:br/>
      </w:r>
      <w:r>
        <w:rPr>
          <w:bCs/>
          <w:b/>
        </w:rPr>
        <w:t xml:space="preserve">Jurisdiction/Region:</w:t>
      </w:r>
      <w:r>
        <w:t xml:space="preserve"> </w:t>
      </w:r>
      <w:r>
        <w:t xml:space="preserve">China (Guangzhou, Guangdong Province)</w:t>
      </w:r>
      <w:r>
        <w:br/>
      </w:r>
      <w:r>
        <w:br/>
      </w:r>
      <w:r>
        <w:rPr>
          <w:iCs/>
          <w:i/>
        </w:rPr>
        <w:t xml:space="preserve">This document examines the professional ecosystem, pedagogical challenges, and cultural integration strategies of a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University Lecturer</w:t>
      </w:r>
      <w:r>
        <w:rPr>
          <w:iCs/>
          <w:i/>
        </w:rPr>
        <w:t xml:space="preserve">, with specific attention to the dynamic academic environment within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China Guangzhou</w:t>
      </w:r>
      <w:r>
        <w:rPr>
          <w:iCs/>
          <w:i/>
        </w:rPr>
        <w:t xml:space="preserve">. This case study serves as a comprehensive guide for international academics seeking to understand or succeed in this role.</w:t>
      </w:r>
      <w:r>
        <w:br/>
      </w:r>
    </w:p>
    <w:bookmarkStart w:id="20" w:name="Xf76d0d9874a2e24cdda22a3912914b5960263d2"/>
    <w:p>
      <w:pPr>
        <w:pStyle w:val="Heading2"/>
      </w:pPr>
      <w:r>
        <w:t xml:space="preserve">1. Executive Summary and Contextual Background</w:t>
      </w:r>
    </w:p>
    <w:p>
      <w:pPr>
        <w:pStyle w:val="FirstParagraph"/>
      </w:pPr>
      <w:r>
        <w:t xml:space="preserve">The Higher Education sector in the People's Republic of China is undergoing rapid modernization, driven by national initiatives such as "Double First-Class" universities.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, serving as the capital of Guangdong Province and a major hub in the Greater Bay Area (GBA), stands at the forefront of this transformation. For a</w:t>
      </w:r>
      <w:r>
        <w:t xml:space="preserve"> </w:t>
      </w:r>
      <w:r>
        <w:rPr>
          <w:bCs/>
          <w:b/>
        </w:rPr>
        <w:t xml:space="preserve">University Lecturer</w:t>
      </w:r>
      <w:r>
        <w:t xml:space="preserve">, working in this region offers unparalleled opportunities for research collaboration, cross-cultural exchange, and academic influence.</w:t>
      </w:r>
    </w:p>
    <w:p>
      <w:pPr>
        <w:pStyle w:val="BodyText"/>
      </w:pPr>
      <w:r>
        <w:t xml:space="preserve">This case study focuses on the specific trajectory of a foreign-born</w:t>
      </w:r>
      <w:r>
        <w:t xml:space="preserve"> </w:t>
      </w:r>
      <w:r>
        <w:rPr>
          <w:bCs/>
          <w:b/>
        </w:rPr>
        <w:t xml:space="preserve">University Lecturer</w:t>
      </w:r>
      <w:r>
        <w:t xml:space="preserve"> </w:t>
      </w:r>
      <w:r>
        <w:t xml:space="preserve">appointed at a Tier-1 institution in Guangzhou. The analysis explores how the unique geographical and economic position of Guangzhou influences teaching methodologies, student expectations, and career progression. By isolating these variables, we provide a structured understanding of what it truly means to be an academic professional in this vibrant southern metropolis.</w:t>
      </w:r>
    </w:p>
    <w:bookmarkEnd w:id="20"/>
    <w:bookmarkStart w:id="21" w:name="institutional-landscape-in-guangzhou"/>
    <w:p>
      <w:pPr>
        <w:pStyle w:val="Heading2"/>
      </w:pPr>
      <w:r>
        <w:t xml:space="preserve">2. Institutional Landscape in Guangzhou</w:t>
      </w:r>
    </w:p>
    <w:p>
      <w:pPr>
        <w:pStyle w:val="FirstParagraph"/>
      </w:pPr>
      <w:r>
        <w:t xml:space="preserve">Gwangzhou is home to prestigious institutions such as Sun Yat-sen University and Jinan University. Unlike the historical, Confucian-centric atmosphere of Beijing or Shanghai,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rPr>
          <w:bCs/>
          <w:b/>
        </w:rPr>
        <w:t xml:space="preserve">Feature</w:t>
      </w:r>
    </w:p>
    <w:p>
      <w:pPr>
        <w:pStyle w:val="BodyText"/>
      </w:pPr>
      <w:r>
        <w:rPr>
          <w:bCs/>
          <w:b/>
        </w:rPr>
        <w:t xml:space="preserve">Impact on University Lecturer Role</w:t>
      </w:r>
    </w:p>
    <w:p>
      <w:pPr>
        <w:pStyle w:val="BodyText"/>
      </w:pPr>
      <w:r>
        <w:t xml:space="preserve">Multilingual Environment</w:t>
      </w:r>
    </w:p>
    <w:p>
      <w:pPr>
        <w:pStyle w:val="BodyText"/>
      </w:pPr>
      <w:r>
        <w:t xml:space="preserve">Lecturers must navigate between Mandarin (Putonghua) and English, often utilizing bilingual resources to aid comprehension in specialized STEM fields.</w:t>
      </w:r>
    </w:p>
    <w:p>
      <w:pPr>
        <w:pStyle w:val="BodyText"/>
      </w:pPr>
      <w:r>
        <w:t xml:space="preserve">Industry Integration</w:t>
      </w:r>
    </w:p>
    <w:p>
      <w:pPr>
        <w:pStyle w:val="BodyText"/>
      </w:pPr>
      <w:r>
        <w:t xml:space="preserve">Guangzhou’s proximity to tech hubs encourages Lecturers to integrate practical industry cases into the curriculum, moving beyond pure theory.</w:t>
      </w:r>
    </w:p>
    <w:p>
      <w:pPr>
        <w:pStyle w:val="BodyText"/>
      </w:pPr>
      <w:r>
        <w:t xml:space="preserve">Diverse Student Body</w:t>
      </w:r>
    </w:p>
    <w:p>
      <w:pPr>
        <w:pStyle w:val="BodyText"/>
      </w:pPr>
      <w:r>
        <w:t xml:space="preserve">The region attracts students from across Southern China and Southeast Asia, requiring lecturers to adopt inclusive pedagogical strategies.</w:t>
      </w:r>
    </w:p>
    <w:bookmarkEnd w:id="21"/>
    <w:bookmarkStart w:id="24" w:name="Xa720b717a95bad46ea9731ce39d07ac344c4b3d"/>
    <w:p>
      <w:pPr>
        <w:pStyle w:val="Heading2"/>
      </w:pPr>
      <w:r>
        <w:t xml:space="preserve">3. Core Responsibilities of the University Lecturer in Guangzhou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University LecturerGwangzhou</w:t>
      </w:r>
    </w:p>
    <w:bookmarkStart w:id="22" w:name="teaching-and-pedagogy"/>
    <w:p>
      <w:pPr>
        <w:pStyle w:val="Heading3"/>
      </w:pPr>
      <w:r>
        <w:t xml:space="preserve">3.1 Teaching and Pedagogy</w:t>
      </w:r>
    </w:p>
    <w:p>
      <w:pPr>
        <w:pStyle w:val="FirstParagraph"/>
      </w:pPr>
      <w:r>
        <w:t xml:space="preserve">In Guangzhou universities, the student-to-teacher ratio can be high. A</w:t>
      </w:r>
      <w:r>
        <w:t xml:space="preserve"> </w:t>
      </w:r>
      <w:r>
        <w:rPr>
          <w:bCs/>
          <w:b/>
        </w:rPr>
        <w:t xml:space="preserve">University LecturerUniversity Lecturer</w:t>
      </w:r>
    </w:p>
    <w:bookmarkEnd w:id="22"/>
    <w:bookmarkStart w:id="23" w:name="research-expectations"/>
    <w:p>
      <w:pPr>
        <w:pStyle w:val="Heading3"/>
      </w:pPr>
      <w:r>
        <w:t xml:space="preserve">3.2 Research Expectations</w:t>
      </w:r>
    </w:p>
    <w:p>
      <w:pPr>
        <w:pStyle w:val="FirstParagraph"/>
      </w:pPr>
      <w:r>
        <w:t xml:space="preserve">To retain their position and secure promotions, a</w:t>
      </w:r>
      <w:r>
        <w:t xml:space="preserve"> </w:t>
      </w:r>
      <w:r>
        <w:rPr>
          <w:bCs/>
          <w:b/>
        </w:rPr>
        <w:t xml:space="preserve">University Lecturer</w:t>
      </w:r>
    </w:p>
    <w:bookmarkEnd w:id="23"/>
    <w:bookmarkEnd w:id="24"/>
    <w:bookmarkStart w:id="25" w:name="cultural-and-administrative-challenges"/>
    <w:p>
      <w:pPr>
        <w:pStyle w:val="Heading2"/>
      </w:pPr>
      <w:r>
        <w:t xml:space="preserve">4. Cultural and Administrative Challenges</w:t>
      </w:r>
    </w:p>
    <w:p>
      <w:pPr>
        <w:pStyle w:val="FirstParagraph"/>
      </w:pPr>
      <w:r>
        <w:t xml:space="preserve">Navigating the administrative landscape is one of the most significant hurdles for a</w:t>
      </w:r>
      <w:r>
        <w:t xml:space="preserve"> </w:t>
      </w:r>
      <w:r>
        <w:rPr>
          <w:bCs/>
          <w:b/>
        </w:rPr>
        <w:t xml:space="preserve">University LecturerGwangzhou</w:t>
      </w:r>
    </w:p>
    <w:p>
      <w:pPr>
        <w:numPr>
          <w:ilvl w:val="0"/>
          <w:numId w:val="1001"/>
        </w:numPr>
        <w:pStyle w:val="Compact"/>
      </w:pPr>
      <w:r>
        <w:t xml:space="preserve">Bureaucratic Navigation: Visa processes, housing registration, and departmental approvals require patience and local support. A</w:t>
      </w:r>
      <w:r>
        <w:t xml:space="preserve"> </w:t>
      </w:r>
      <w:r>
        <w:rPr>
          <w:bCs/>
          <w:b/>
        </w:rPr>
        <w:t xml:space="preserve">University Lecturer</w:t>
      </w:r>
    </w:p>
    <w:p>
      <w:pPr>
        <w:numPr>
          <w:ilvl w:val="0"/>
          <w:numId w:val="1001"/>
        </w:numPr>
        <w:pStyle w:val="Compact"/>
      </w:pPr>
      <w:r>
        <w:t xml:space="preserve">Cultural Nuances: While Guangzhou is relatively open compared to northern cities, the concept of collectivism influences group dynamics. A</w:t>
      </w:r>
    </w:p>
    <w:p>
      <w:pPr>
        <w:numPr>
          <w:ilvl w:val="0"/>
          <w:numId w:val="1000"/>
        </w:numPr>
        <w:pStyle w:val="Compact"/>
      </w:pPr>
      <w:r>
        <w:t xml:space="preserve">University Lecturer</w:t>
      </w:r>
    </w:p>
    <w:bookmarkEnd w:id="25"/>
    <w:bookmarkStart w:id="26" w:name="Xe1ee6cf4cb13ed1f197c1fd74c74312d780f339"/>
    <w:p>
      <w:pPr>
        <w:pStyle w:val="Heading2"/>
      </w:pPr>
      <w:r>
        <w:t xml:space="preserve">5. Adaptation Strategies for Success in China Guangzhou</w:t>
      </w:r>
    </w:p>
    <w:p>
      <w:pPr>
        <w:pStyle w:val="FirstParagraph"/>
      </w:pPr>
      <w:r>
        <w:t xml:space="preserve">To thrive as a</w:t>
      </w:r>
      <w:r>
        <w:t xml:space="preserve"> </w:t>
      </w:r>
      <w:r>
        <w:rPr>
          <w:bCs/>
          <w:b/>
        </w:rPr>
        <w:t xml:space="preserve">University LecturerGwangzhou</w:t>
      </w:r>
    </w:p>
    <w:p>
      <w:pPr>
        <w:numPr>
          <w:ilvl w:val="0"/>
          <w:numId w:val="1002"/>
        </w:numPr>
        <w:pStyle w:val="Compact"/>
      </w:pPr>
      <w:r>
        <w:t xml:space="preserve">Linguistic Proficiency: While English is the medium of instruction for many specialized courses, basic Mandarin skills significantly enhance daily life and foster better relationships with colleagues.</w:t>
      </w:r>
    </w:p>
    <w:p>
      <w:pPr>
        <w:numPr>
          <w:ilvl w:val="0"/>
          <w:numId w:val="1002"/>
        </w:numPr>
        <w:pStyle w:val="Compact"/>
      </w:pPr>
      <w:r>
        <w:t xml:space="preserve">Embrace Local Technologies: Mastery of WeChat (for communication), DingTalk (for administrative tasks), and local payment systems is essential for a</w:t>
      </w:r>
      <w:r>
        <w:t xml:space="preserve"> </w:t>
      </w:r>
      <w:r>
        <w:rPr>
          <w:bCs/>
          <w:b/>
        </w:rPr>
        <w:t xml:space="preserve">University LecturerGwangzhou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Networking within the GBA: Building networks across Shenzhen, Guangzhou, and Hong Kong provides a professional safety net and opens doors for collaborative projects.</w:t>
      </w:r>
    </w:p>
    <w:bookmarkEnd w:id="26"/>
    <w:bookmarkStart w:id="27" w:name="Xff01e27cd2cdb10b200f88da2bd165611ee7c69"/>
    <w:p>
      <w:pPr>
        <w:pStyle w:val="Heading2"/>
      </w:pPr>
      <w:r>
        <w:t xml:space="preserve">6. Compensation and Benefits Package Overview</w:t>
      </w:r>
    </w:p>
    <w:p>
      <w:pPr>
        <w:pStyle w:val="FirstParagraph"/>
      </w:pPr>
      <w:r>
        <w:t xml:space="preserve">Guangzhou offers a highly competitive compensation package to attract top-tier international talent. For a</w:t>
      </w:r>
      <w:r>
        <w:t xml:space="preserve"> </w:t>
      </w:r>
      <w:r>
        <w:rPr>
          <w:bCs/>
          <w:b/>
        </w:rPr>
        <w:t xml:space="preserve">University Lecturer</w:t>
      </w:r>
      <w:r>
        <w:t xml:space="preserve">, this typically includes:</w:t>
      </w:r>
    </w:p>
    <w:p>
      <w:pPr>
        <w:numPr>
          <w:ilvl w:val="0"/>
          <w:numId w:val="1003"/>
        </w:numPr>
        <w:pStyle w:val="Compact"/>
      </w:pPr>
      <w:r>
        <w:t xml:space="preserve">Tax-free or reduced-tax housing allowances.</w:t>
      </w:r>
    </w:p>
    <w:p>
      <w:pPr>
        <w:numPr>
          <w:ilvl w:val="0"/>
          <w:numId w:val="1003"/>
        </w:numPr>
        <w:pStyle w:val="Compact"/>
      </w:pPr>
      <w:r>
        <w:t xml:space="preserve">Airfare reimbursement for annual leave.</w:t>
      </w:r>
    </w:p>
    <w:p>
      <w:pPr>
        <w:numPr>
          <w:ilvl w:val="0"/>
          <w:numId w:val="1003"/>
        </w:numPr>
        <w:pStyle w:val="Compact"/>
      </w:pPr>
      <w:r>
        <w:t xml:space="preserve">Health insurance coverage compatible with international standards.</w:t>
      </w:r>
    </w:p>
    <w:bookmarkEnd w:id="27"/>
    <w:bookmarkStart w:id="28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University LecturerGwangzhouUniversity Lecturer</w:t>
      </w:r>
    </w:p>
    <w:p>
      <w:pPr>
        <w:pStyle w:val="BodyText"/>
      </w:pPr>
      <w:r>
        <w:t xml:space="preserve">For prospective academics considering this path, success in</w:t>
      </w:r>
      <w:r>
        <w:t xml:space="preserve"> </w:t>
      </w:r>
      <w:r>
        <w:rPr>
          <w:bCs/>
          <w:b/>
        </w:rPr>
        <w:t xml:space="preserve">Gwangzhou</w:t>
      </w:r>
    </w:p>
    <w:p>
      <w:pPr>
        <w:pStyle w:val="BodyText"/>
      </w:pPr>
      <w:r>
        <w:t xml:space="preserve">© 2023 Academic Case Studies International. All Rights Reserved.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University Lecturer in China Guangzhou</dc:title>
  <dc:creator/>
  <dc:language>en</dc:language>
  <cp:keywords/>
  <dcterms:created xsi:type="dcterms:W3CDTF">2026-07-29T14:59:54Z</dcterms:created>
  <dcterms:modified xsi:type="dcterms:W3CDTF">2026-07-29T14:59:54Z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