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a3a25e904c73cf831a44f33ff7909849cdbe1c3"/>
    <w:p>
      <w:pPr>
        <w:pStyle w:val="Heading1"/>
      </w:pPr>
      <w:r>
        <w:t xml:space="preserve">Digital Transformation in Higher Education Leadership and Curriculum Innovation within the United Kingdom London Context</w:t>
      </w:r>
    </w:p>
    <w:bookmarkStart w:id="20" w:name="executive-summary"/>
    <w:p>
      <w:pPr>
        <w:pStyle w:val="Heading2"/>
      </w:pPr>
      <w:r>
        <w:t xml:space="preserve">Executive Summary</w:t>
      </w:r>
    </w:p>
    <w:p>
      <w:pPr>
        <w:pStyle w:val="FirstParagraph"/>
      </w:pPr>
      <w:r>
        <w:t xml:space="preserve">This Case Study document examines the multifaceted role of a</w:t>
      </w:r>
      <w:r>
        <w:t xml:space="preserve"> </w:t>
      </w:r>
      <w:r>
        <w:t xml:space="preserve">, specifically focusing on their responsibilities, challenges, and strategic impact within the highly competitive academic environment of</w:t>
      </w:r>
      <w:r>
        <w:t xml:space="preserve"> </w:t>
      </w:r>
      <w:hyperlink w:anchor="Xa39a3ee5e6b4b0d3255bfef95601890afd80709">
        <w:r>
          <w:rPr>
            <w:rStyle w:val="Hyperlink"/>
            <w:bCs/>
            <w:b/>
            <w:iCs/>
            <w:i/>
          </w:rPr>
          <w:t xml:space="preserve">United Kingdom London</w:t>
        </w:r>
        <w:r>
          <w:rPr>
            <w:rStyle w:val="Hyperlink"/>
          </w:rPr>
          <w:t xml:space="preserve">. The purpose of this analysis is to provide a comprehensive overview of how senior academic staff navigate the dual mandates of high-quality teaching and rigorous research output while managing diverse student demographics in one of the world’s leading educational hubs. By analyzing key performance indicators, stakeholder engagement strategies, and institutional compliance requirements, this document serves as a critical resource for university administrators, HR departments, and aspiring academics seeking to understand the nuanced dynamics of higher education leadership in</w:t>
        </w:r>
      </w:hyperlink>
    </w:p>
    <w:p>
      <w:pPr>
        <w:pStyle w:val="BodyText"/>
      </w:pPr>
      <w:r>
        <w:rPr>
          <w:bCs/>
          <w:b/>
          <w:iCs/>
          <w:i/>
        </w:rPr>
        <w:t xml:space="preserve">United Kingdom London</w:t>
      </w:r>
      <w:r>
        <w:t xml:space="preserve">.</w:t>
      </w:r>
    </w:p>
    <w:bookmarkEnd w:id="20"/>
    <w:bookmarkStart w:id="21" w:name="X269ca2b25b263cf6cf5b8ac7daddb7145336155"/>
    <w:p>
      <w:pPr>
        <w:pStyle w:val="Heading2"/>
      </w:pPr>
      <w:r>
        <w:t xml:space="preserve">1. Introduction: The Unique Academic Landscape of United Kingdom London</w:t>
      </w:r>
    </w:p>
    <w:p>
      <w:pPr>
        <w:pStyle w:val="FirstParagraph"/>
      </w:pPr>
      <w:r>
        <w:t xml:space="preserve">The academic sector in</w:t>
      </w:r>
      <w:r>
        <w:t xml:space="preserve"> </w:t>
      </w:r>
      <w:hyperlink w:anchor="Xa39a3ee5e6b4b0d3255bfef95601890afd80709">
        <w:r>
          <w:rPr>
            <w:rStyle w:val="Hyperlink"/>
            <w:bCs/>
            <w:b/>
            <w:iCs/>
            <w:i/>
          </w:rPr>
          <w:t xml:space="preserve">United Kingdom London</w:t>
        </w:r>
        <w:r>
          <w:rPr>
            <w:rStyle w:val="Hyperlink"/>
          </w:rPr>
          <w:t xml:space="preserve">.</w:t>
        </w:r>
      </w:hyperlink>
      <w:r>
        <w:t xml:space="preserve">. This Case Study is not merely about job description compliance; it is about understanding the intellectual and operational rigor required to succeed in such a prestigious environment. Lecturers here are expected to operate at the intersection of global thought leadership and local community engagement, serving a student body that is as diverse as the city itself. The stakes are high, with intense scrutiny from regulatory bodies like the Office for Students (OfS) and fierce competition for funding among top-tier institutions situated in</w:t>
      </w:r>
    </w:p>
    <w:p>
      <w:pPr>
        <w:pStyle w:val="BodyText"/>
      </w:pPr>
      <w:r>
        <w:rPr>
          <w:bCs/>
          <w:b/>
          <w:iCs/>
          <w:i/>
        </w:rPr>
        <w:t xml:space="preserve">United Kingdom London</w:t>
      </w:r>
      <w:r>
        <w:t xml:space="preserve">.</w:t>
      </w:r>
    </w:p>
    <w:bookmarkEnd w:id="21"/>
    <w:bookmarkStart w:id="22" w:name="Xa839f6b973960aaaaf35bcdc3e84ddba56de7bb"/>
    <w:p>
      <w:pPr>
        <w:pStyle w:val="Heading2"/>
      </w:pPr>
      <w:r>
        <w:t xml:space="preserve">2. Role Profile: Defining the University Lecturer Position</w:t>
      </w:r>
    </w:p>
    <w:p>
      <w:pPr>
        <w:pStyle w:val="FirstParagraph"/>
      </w:pPr>
      <w:r>
        <w:t xml:space="preserve">The position of a University Lecturer extends far beyond traditional classroom instruction. In the context of this Case Study, we define the role through three primary pillars: Pedagogy, Research, and Administration.</w:t>
      </w:r>
      <w:r>
        <w:t xml:space="preserve"> </w:t>
      </w:r>
      <w:r>
        <w:t xml:space="preserve">Firstly regarding pedagogy in</w:t>
      </w:r>
      <w:r>
        <w:t xml:space="preserve"> </w:t>
      </w:r>
      <w:hyperlink w:anchor="Xa39a3ee5e6b4b0d3255bfef95601890afd80709">
        <w:r>
          <w:rPr>
            <w:rStyle w:val="Hyperlink"/>
            <w:bCs/>
            <w:b/>
            <w:iCs/>
            <w:i/>
          </w:rPr>
          <w:t xml:space="preserve">United Kingdom London</w:t>
        </w:r>
        <w:r>
          <w:rPr>
            <w:rStyle w:val="Hyperlink"/>
          </w:rPr>
          <w:t xml:space="preserve">. The lecturer must design curricula that are not only theoretically sound but also practically applicable to modern industries. This involves integrating digital learning tools, fostering critical thinking, and ensuring assessment methods are fair and aligned with national qualification frameworks.</w:t>
        </w:r>
        <w:r>
          <w:rPr>
            <w:rStyle w:val="Hyperlink"/>
          </w:rPr>
          <w:t xml:space="preserve"> </w:t>
        </w:r>
        <w:r>
          <w:rPr>
            <w:rStyle w:val="Hyperlink"/>
          </w:rPr>
          <w:t xml:space="preserve">Secondly, the research component is paramount. A University Lecturer in</w:t>
        </w:r>
      </w:hyperlink>
    </w:p>
    <w:p>
      <w:pPr>
        <w:pStyle w:val="BodyText"/>
      </w:pPr>
      <w:r>
        <w:rPr>
          <w:bCs/>
          <w:b/>
          <w:iCs/>
          <w:i/>
        </w:rPr>
        <w:t xml:space="preserve">United Kingdom London</w:t>
      </w:r>
      <w:r>
        <w:t xml:space="preserve">.</w:t>
      </w:r>
    </w:p>
    <w:bookmarkEnd w:id="22"/>
    <w:bookmarkStart w:id="23" w:name="Xe29bec887843d62a632619d50bcbcb9081182f1"/>
    <w:p>
      <w:pPr>
        <w:pStyle w:val="Heading2"/>
      </w:pPr>
      <w:r>
        <w:t xml:space="preserve">3. Strategic Challenges and Operational Dynamics</w:t>
      </w:r>
    </w:p>
    <w:p>
      <w:pPr>
        <w:pStyle w:val="FirstParagraph"/>
      </w:pPr>
      <w:r>
        <w:t xml:space="preserve">Operating as a University Lecturer within</w:t>
      </w:r>
      <w:r>
        <w:t xml:space="preserve"> </w:t>
      </w:r>
      <w:hyperlink w:anchor="Xa39a3ee5e6b4b0d3255bfef95601890afd80709">
        <w:r>
          <w:rPr>
            <w:rStyle w:val="Hyperlink"/>
            <w:bCs/>
            <w:b/>
            <w:iCs/>
            <w:i/>
          </w:rPr>
          <w:t xml:space="preserve">United Kingdom London</w:t>
        </w:r>
        <w:r>
          <w:rPr>
            <w:rStyle w:val="Hyperlink"/>
          </w:rPr>
          <w:t xml:space="preserve">. The Case Study highlights three specific challenges:</w:t>
        </w:r>
        <w:r>
          <w:rPr>
            <w:rStyle w:val="Hyperlink"/>
          </w:rPr>
          <w:t xml:space="preserve"> </w:t>
        </w:r>
        <w:r>
          <w:rPr>
            <w:rStyle w:val="Hyperlink"/>
          </w:rPr>
          <w:t xml:space="preserve">First, the pressure to secure external research funding is intensified in</w:t>
        </w:r>
      </w:hyperlink>
    </w:p>
    <w:p>
      <w:pPr>
        <w:pStyle w:val="BodyText"/>
      </w:pPr>
      <w:r>
        <w:rPr>
          <w:bCs/>
          <w:b/>
          <w:iCs/>
          <w:i/>
        </w:rPr>
        <w:t xml:space="preserve">United Kingdom London</w:t>
      </w:r>
      <w:r>
        <w:t xml:space="preserve">.</w:t>
      </w:r>
    </w:p>
    <w:p>
      <w:pPr>
        <w:pStyle w:val="BodyText"/>
      </w:pPr>
      <w:r>
        <w:t xml:space="preserve">Secondly, student diversity presents both an opportunity and a challenge. In</w:t>
      </w:r>
      <w:r>
        <w:t xml:space="preserve"> </w:t>
      </w:r>
      <w:hyperlink w:anchor="Xa39a3ee5e6b4b0d3255bfef95601890afd80709">
        <w:r>
          <w:rPr>
            <w:rStyle w:val="Hyperlink"/>
            <w:bCs/>
            <w:b/>
            <w:iCs/>
            <w:i/>
          </w:rPr>
          <w:t xml:space="preserve">United Kingdom London</w:t>
        </w:r>
        <w:r>
          <w:rPr>
            <w:rStyle w:val="Hyperlink"/>
          </w:rPr>
          <w:t xml:space="preserve">, institutions attract students from over 180 countries. University Lecturers must adapt their teaching styles to accommodate varying levels of English proficiency, cultural expectations regarding authority in education, and diverse learning preferences. This requires high emotional intelligence and cultural competence, making the role more complex than standard academic instruction.</w:t>
        </w:r>
        <w:r>
          <w:rPr>
            <w:rStyle w:val="Hyperlink"/>
          </w:rPr>
          <w:t xml:space="preserve"> </w:t>
        </w:r>
        <w:r>
          <w:rPr>
            <w:rStyle w:val="Hyperlink"/>
          </w:rPr>
          <w:t xml:space="preserve">Thirdly, the administrative burden has grown significantly in recent years. Compliance with Health and Safety regulations (crucial for lab-based courses), safeguarding duties for students under 18 or vulnerable adults, and adherence to GDPR data protection laws are non-negotiable aspects of the job in</w:t>
        </w:r>
      </w:hyperlink>
    </w:p>
    <w:p>
      <w:pPr>
        <w:pStyle w:val="BodyText"/>
      </w:pPr>
      <w:r>
        <w:rPr>
          <w:bCs/>
          <w:b/>
          <w:iCs/>
          <w:i/>
        </w:rPr>
        <w:t xml:space="preserve">United Kingdom London</w:t>
      </w:r>
      <w:r>
        <w:t xml:space="preserve">. These administrative tasks often detract from time that could be spent on research or direct student mentorship.</w:t>
      </w:r>
    </w:p>
    <w:bookmarkEnd w:id="23"/>
    <w:bookmarkStart w:id="24" w:name="X6afadd99ce6362c0810f6faef6e6d00c6fd3451"/>
    <w:p>
      <w:pPr>
        <w:pStyle w:val="Heading2"/>
      </w:pPr>
      <w:r>
        <w:t xml:space="preserve">4. Case Analysis: Success Factors and Best Practices</w:t>
      </w:r>
    </w:p>
    <w:p>
      <w:pPr>
        <w:pStyle w:val="FirstParagraph"/>
      </w:pPr>
      <w:r>
        <w:t xml:space="preserve">To succeed, University Lecturers in</w:t>
      </w:r>
      <w:r>
        <w:t xml:space="preserve"> </w:t>
      </w:r>
      <w:hyperlink w:anchor="Xa39a3ee5e6b4b0d3255bfef95601890afd80709">
        <w:r>
          <w:rPr>
            <w:rStyle w:val="Hyperlink"/>
            <w:bCs/>
            <w:b/>
            <w:iCs/>
            <w:i/>
          </w:rPr>
          <w:t xml:space="preserve">United Kingdom London</w:t>
        </w:r>
        <w:r>
          <w:rPr>
            <w:rStyle w:val="Hyperlink"/>
          </w:rPr>
          <w:t xml:space="preserve">.</w:t>
        </w:r>
        <w:r>
          <w:rPr>
            <w:rStyle w:val="Hyperlink"/>
          </w:rPr>
          <w:t xml:space="preserve"> </w:t>
        </w:r>
        <w:r>
          <w:rPr>
            <w:rStyle w:val="Hyperlink"/>
          </w:rPr>
          <w:t xml:space="preserve">The Case Study identifies "Interdisciplinary Collaboration" as a key success factor. Successful lecturers often form networks with colleagues across departments within the same university or collaborate with industry partners located in the financial and tech hubs of</w:t>
        </w:r>
      </w:hyperlink>
    </w:p>
    <w:p>
      <w:pPr>
        <w:pStyle w:val="BodyText"/>
      </w:pPr>
      <w:r>
        <w:rPr>
          <w:bCs/>
          <w:b/>
          <w:iCs/>
          <w:i/>
        </w:rPr>
        <w:t xml:space="preserve">United Kingdom London</w:t>
      </w:r>
      <w:r>
        <w:t xml:space="preserve">.</w:t>
      </w:r>
    </w:p>
    <w:p>
      <w:pPr>
        <w:pStyle w:val="BodyText"/>
      </w:pPr>
      <w:r>
        <w:t xml:space="preserve">Furthermore, digital literacy is essential. The rapid shift toward hybrid learning models post-pandemic has made it imperative for University Lecturers to master Learning Management Systems (LMS) such as Moodle or Blackboard. In</w:t>
      </w:r>
    </w:p>
    <w:p>
      <w:pPr>
        <w:pStyle w:val="BodyText"/>
      </w:pPr>
      <w:r>
        <w:rPr>
          <w:bCs/>
          <w:b/>
          <w:iCs/>
          <w:i/>
        </w:rPr>
        <w:t xml:space="preserve">United Kingdom London</w:t>
      </w:r>
      <w:r>
        <w:t xml:space="preserve">, where technological infrastructure is state-of-the-art, lecturers are expected to leverage data analytics to monitor student progress and intervene early if at-risk students are identified.</w:t>
      </w:r>
    </w:p>
    <w:bookmarkEnd w:id="24"/>
    <w:bookmarkStart w:id="25" w:name="impact-on-stakeholders"/>
    <w:p>
      <w:pPr>
        <w:pStyle w:val="Heading2"/>
      </w:pPr>
      <w:r>
        <w:t xml:space="preserve">5. Impact on Stakeholders</w:t>
      </w:r>
    </w:p>
    <w:p>
      <w:pPr>
        <w:pStyle w:val="FirstParagraph"/>
      </w:pPr>
      <w:r>
        <w:t xml:space="preserve">The impact of a high-performing University Lecturer ripples outward to multiple stakeholders in</w:t>
      </w:r>
      <w:r>
        <w:t xml:space="preserve"> </w:t>
      </w:r>
      <w:hyperlink w:anchor="Xa39a3ee5e6b4b0d3255bfef95601890afd80709">
        <w:r>
          <w:rPr>
            <w:rStyle w:val="Hyperlink"/>
            <w:bCs/>
            <w:b/>
            <w:iCs/>
            <w:i/>
          </w:rPr>
          <w:t xml:space="preserve">United Kingdom London</w:t>
        </w:r>
        <w:r>
          <w:rPr>
            <w:rStyle w:val="Hyperlink"/>
          </w:rPr>
          <w:t xml:space="preserve">. For students, the lecturer provides not just academic knowledge but also professional networking opportunities and career guidance. The reputation of the institution in</w:t>
        </w:r>
      </w:hyperlink>
    </w:p>
    <w:p>
      <w:pPr>
        <w:pStyle w:val="BodyText"/>
      </w:pPr>
      <w:r>
        <w:rPr>
          <w:bCs/>
          <w:b/>
          <w:iCs/>
          <w:i/>
        </w:rPr>
        <w:t xml:space="preserve">United Kingdom London</w:t>
      </w:r>
      <w:r>
        <w:t xml:space="preserve">.</w:t>
      </w:r>
    </w:p>
    <w:p>
      <w:pPr>
        <w:pStyle w:val="BodyText"/>
      </w:pPr>
      <w:r>
        <w:t xml:space="preserve">For the university itself, University Lecturers are brand ambassadors. Their research publications and public engagements enhance the global ranking of the institution. In a city like</w:t>
      </w:r>
    </w:p>
    <w:p>
      <w:pPr>
        <w:pStyle w:val="BodyText"/>
      </w:pPr>
      <w:r>
        <w:rPr>
          <w:bCs/>
          <w:b/>
          <w:iCs/>
          <w:i/>
        </w:rPr>
        <w:t xml:space="preserve">United Kingdom London</w:t>
      </w:r>
      <w:r>
        <w:t xml:space="preserve">, where prestige drives enrollment and funding, individual academic excellence directly contributes to institutional viability.</w:t>
      </w:r>
    </w:p>
    <w:bookmarkEnd w:id="25"/>
    <w:bookmarkStart w:id="26" w:name="conclusion-and-recommendations"/>
    <w:p>
      <w:pPr>
        <w:pStyle w:val="Heading2"/>
      </w:pPr>
      <w:r>
        <w:t xml:space="preserve">6. Conclusion and Recommendations</w:t>
      </w:r>
    </w:p>
    <w:p>
      <w:pPr>
        <w:pStyle w:val="FirstParagraph"/>
      </w:pPr>
      <w:r>
        <w:t xml:space="preserve">In conclusion, this Case Study demonstrates that the role of a University Lecturer in</w:t>
      </w:r>
      <w:r>
        <w:t xml:space="preserve"> </w:t>
      </w:r>
      <w:hyperlink w:anchor="Xa39a3ee5e6b4b0d3255bfef95601890afd80709">
        <w:r>
          <w:rPr>
            <w:rStyle w:val="Hyperlink"/>
            <w:bCs/>
            <w:b/>
            <w:iCs/>
            <w:i/>
          </w:rPr>
          <w:t xml:space="preserve">United Kingdom London</w:t>
        </w:r>
        <w:r>
          <w:rPr>
            <w:rStyle w:val="Hyperlink"/>
          </w:rPr>
          <w:t xml:space="preserve">. It is a position of immense influence requiring a delicate balance between scholarly excellence, pedagogical innovation, and administrative diligence.</w:t>
        </w:r>
        <w:r>
          <w:rPr>
            <w:rStyle w:val="Hyperlink"/>
          </w:rPr>
          <w:t xml:space="preserve"> </w:t>
        </w:r>
        <w:r>
          <w:rPr>
            <w:rStyle w:val="Hyperlink"/>
          </w:rPr>
          <w:t xml:space="preserve">For organizations looking to recruit or support lecturers in</w:t>
        </w:r>
      </w:hyperlink>
      <w:r>
        <w:t xml:space="preserve"> </w:t>
      </w:r>
      <w:hyperlink w:anchor="Xa39a3ee5e6b4b0d3255bfef95601890afd80709">
        <w:r>
          <w:rPr>
            <w:rStyle w:val="Hyperlink"/>
            <w:bCs/>
            <w:b/>
            <w:iCs/>
            <w:i/>
          </w:rPr>
          <w:t xml:space="preserve">United Kingdom London</w:t>
        </w:r>
        <w:r>
          <w:rPr>
            <w:rStyle w:val="Hyperlink"/>
          </w:rPr>
          <w:t xml:space="preserve">, it is recommended to invest heavily in professional development focused on cultural competency and digital pedagogy. Furthermore, providing robust research support services can alleviate the burden on academic staff, allowing them to focus on their core strengths. The future of higher education in</w:t>
        </w:r>
      </w:hyperlink>
    </w:p>
    <w:p>
      <w:pPr>
        <w:pStyle w:val="BodyText"/>
      </w:pPr>
      <w:r>
        <w:rPr>
          <w:bCs/>
          <w:b/>
          <w:iCs/>
          <w:i/>
        </w:rPr>
        <w:t xml:space="preserve">United Kingdom London</w:t>
      </w:r>
      <w:r>
        <w:t xml:space="preserve">.</w:t>
      </w:r>
    </w:p>
    <w:p>
      <w:r>
        <w:pict>
          <v:rect style="width:0;height:1.5pt" o:hralign="center" o:hrstd="t" o:hr="t"/>
        </w:pict>
      </w:r>
    </w:p>
    <w:p>
      <w:pPr>
        <w:pStyle w:val="FirstParagraph"/>
      </w:pPr>
      <w:r>
        <w:t xml:space="preserve">Note: This document is a fictionalized Case Study for illustrative purposes regarding the general role of academic staff within the specified geographic and professional context.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University Lecturer in United Kingdom London</dc:title>
  <dc:creator/>
  <dc:language>en</dc:language>
  <cp:keywords/>
  <dcterms:created xsi:type="dcterms:W3CDTF">2026-07-30T06:18:46Z</dcterms:created>
  <dcterms:modified xsi:type="dcterms:W3CDTF">2026-07-30T06:18:46Z</dcterms:modified>
</cp:coreProperties>
</file>

<file path=docProps/custom.xml><?xml version="1.0" encoding="utf-8"?>
<Properties xmlns="http://schemas.openxmlformats.org/officeDocument/2006/custom-properties" xmlns:vt="http://schemas.openxmlformats.org/officeDocument/2006/docPropsVTypes"/>
</file>