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Uzbekistan,</w:t>
      </w:r>
      <w:r>
        <w:t xml:space="preserve"> </w:t>
      </w:r>
      <w:r>
        <w:t xml:space="preserve">Tashkent</w:t>
      </w:r>
    </w:p>
    <w:bookmarkStart w:id="45" w:name="X3daa440d5479c67ed1ee47605b37eaa3750f354"/>
    <w:p>
      <w:pPr>
        <w:pStyle w:val="Heading1"/>
      </w:pPr>
      <w:r>
        <w:t xml:space="preserve">Transforming Higher Education: A Case Study of the University Lecturer in Tashkent, Uzbekistan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Subject Focus:</w:t>
      </w:r>
      <w:r>
        <w:t xml:space="preserve"> </w:t>
      </w:r>
      <w:r>
        <w:t xml:space="preserve">Educational Reform, Academic Leadership, and Socio-Economic Impact</w:t>
      </w:r>
    </w:p>
    <w:p>
      <w:r>
        <w:pict>
          <v:rect style="width:0;height:1.5pt" o:hralign="center" o:hrstd="t" o:hr="t"/>
        </w:pict>
      </w:r>
    </w:p>
    <w:bookmarkStart w:id="21" w:name="introduction"/>
    <w:p>
      <w:pPr>
        <w:pStyle w:val="Heading2"/>
      </w:pPr>
      <w:bookmarkStart w:id="20" w:name="introduction"/>
      <w:bookmarkEnd w:id="20"/>
      <w:r>
        <w:t xml:space="preserve">1. Introduction</w:t>
      </w:r>
    </w:p>
    <w:p>
      <w:pPr>
        <w:pStyle w:val="FirstParagraph"/>
      </w:pPr>
      <w:r>
        <w:t xml:space="preserve">The landscape of higher education in Central Asia has undergone profound transformations in the last decade. At the heart of this transformation lies a pivotal figure: the University Lecturer. This case study examines the evolving role, challenges, and impact of university lecturers specifically within</w:t>
      </w:r>
      <w:r>
        <w:t xml:space="preserve"> </w:t>
      </w:r>
      <w:r>
        <w:rPr>
          <w:bCs/>
          <w:b/>
        </w:rPr>
        <w:t xml:space="preserve">Tashkent, Uzbekistan</w:t>
      </w:r>
      <w:r>
        <w:t xml:space="preserve">. As Tashkent cements its status as a regional hub for science and technology in Central Asia, it has become evident that university lecturers are no longer merely transmitters of knowledge but are active agents of modernization. This document explores how the specific context of</w:t>
      </w:r>
      <w:r>
        <w:t xml:space="preserve"> </w:t>
      </w:r>
      <w:r>
        <w:rPr>
          <w:bCs/>
          <w:b/>
        </w:rPr>
        <w:t xml:space="preserve">Uzbekistan</w:t>
      </w:r>
      <w:r>
        <w:t xml:space="preserve">, with its rich cultural heritage and rapid economic ambitions, shapes the daily reality and professional trajectory of an academic in its capital city.</w:t>
      </w:r>
    </w:p>
    <w:p>
      <w:pPr>
        <w:pStyle w:val="BodyText"/>
      </w:pPr>
      <w:r>
        <w:t xml:space="preserve">The primary objective of this case study is to understand how university lecturers in Tashkent navigate the dual pressures of maintaining academic rigor while adapting to market-driven demands. By analyzing their experiences, we gain insight into the broader mechanisms of educational reform in post-Soviet states undergoing significant geopolitical and economic shifts.</w:t>
      </w:r>
    </w:p>
    <w:bookmarkEnd w:id="21"/>
    <w:bookmarkStart w:id="25" w:name="X8c5417c03578dbc63d03a2375c9202a6b241168"/>
    <w:p>
      <w:pPr>
        <w:pStyle w:val="Heading2"/>
      </w:pPr>
      <w:bookmarkStart w:id="22" w:name="context"/>
      <w:bookmarkEnd w:id="22"/>
      <w:r>
        <w:t xml:space="preserve">2. Contextual Background: The Tashkent Academic Ecosystem</w:t>
      </w:r>
    </w:p>
    <w:p>
      <w:pPr>
        <w:pStyle w:val="FirstParagraph"/>
      </w:pPr>
      <w:r>
        <w:t xml:space="preserve">Tashkent, as the capital of Uzbekistan, serves as the administrative and cultural epicenter of the nation’s educational sector. In recent years, the government has launched aggressive reforms aimed at internationalizing higher education institutions (HEIs). Key initiatives include increasing funding for research infrastructure, encouraging partnerships with Western and Asian universities, and mandating English-language instruction in STEM fields.</w:t>
      </w:r>
    </w:p>
    <w:bookmarkStart w:id="23" w:name="historical-legacy"/>
    <w:p>
      <w:pPr>
        <w:pStyle w:val="Heading3"/>
      </w:pPr>
      <w:r>
        <w:t xml:space="preserve">2.1 Historical Legacy</w:t>
      </w:r>
    </w:p>
    <w:p>
      <w:pPr>
        <w:pStyle w:val="FirstParagraph"/>
      </w:pPr>
      <w:r>
        <w:t xml:space="preserve">The university system in Tashkent is rooted in the Soviet era, characterized by a rigid hierarchical structure and state-controlled curricula. However, since 2017, there has been a decisive shift towards decentralization and autonomy for universities such as Namangan State University (campus presence), Tashkent State Technical University named after Islam Karimov (TashKIT), and the American University of Central Asia (AUCA) which maintains strong ties to the region. The university lecturer today operates in an environment where these historical structures are being dismantled and replaced by meritocratic systems.</w:t>
      </w:r>
    </w:p>
    <w:bookmarkEnd w:id="23"/>
    <w:bookmarkStart w:id="24" w:name="the-demand-for-modernization"/>
    <w:p>
      <w:pPr>
        <w:pStyle w:val="Heading3"/>
      </w:pPr>
      <w:r>
        <w:t xml:space="preserve">2.2 The Demand for Modernization</w:t>
      </w:r>
    </w:p>
    <w:p>
      <w:pPr>
        <w:pStyle w:val="FirstParagraph"/>
      </w:pPr>
      <w:r>
        <w:t xml:space="preserve">The labor market in Uzbekistan is rapidly diversifying, moving away from agricultural dominance toward IT, finance, and manufacturing. Consequently, the demand has surged for university lecturers who possess not only theoretical knowledge but also practical industry experience. This shift places immense pressure on existing faculty members to upskill or face obsolescence.</w:t>
      </w:r>
    </w:p>
    <w:bookmarkEnd w:id="24"/>
    <w:bookmarkEnd w:id="25"/>
    <w:bookmarkStart w:id="27" w:name="profile-of-the-university-lecturer"/>
    <w:p>
      <w:pPr>
        <w:pStyle w:val="Heading2"/>
      </w:pPr>
      <w:bookmarkStart w:id="26" w:name="profile"/>
      <w:bookmarkEnd w:id="26"/>
      <w:r>
        <w:t xml:space="preserve">3. Profile of the University Lecturer</w:t>
      </w:r>
    </w:p>
    <w:p>
      <w:pPr>
        <w:pStyle w:val="FirstParagraph"/>
      </w:pPr>
      <w:r>
        <w:t xml:space="preserve">To understand the nuances of this role, we look at a composite profile derived from interviews and surveys conducted with academics in Tashkent.</w:t>
      </w:r>
    </w:p>
    <w:p>
      <w:pPr>
        <w:pStyle w:val="BodyText"/>
      </w:pPr>
      <w:r>
        <w:rPr>
          <w:bCs/>
          <w:b/>
        </w:rPr>
        <w:t xml:space="preserve">Name:</w:t>
      </w:r>
      <w:r>
        <w:t xml:space="preserve"> </w:t>
      </w:r>
      <w:r>
        <w:t xml:space="preserve">Dr. Aziza Karimova</w:t>
      </w:r>
      <w:r>
        <w:br/>
      </w:r>
      <w:r>
        <w:rPr>
          <w:bCs/>
          <w:b/>
        </w:rPr>
        <w:t xml:space="preserve">Title:</w:t>
      </w:r>
      <w:r>
        <w:t xml:space="preserve"> </w:t>
      </w:r>
      <w:r>
        <w:t xml:space="preserve">Associate Professor of Computer Science</w:t>
      </w:r>
      <w:r>
        <w:br/>
      </w:r>
      <w:r>
        <w:rPr>
          <w:bCs/>
          <w:b/>
        </w:rPr>
        <w:t xml:space="preserve">Institution:</w:t>
      </w:r>
      <w:r>
        <w:t xml:space="preserve"> </w:t>
      </w:r>
      <w:r>
        <w:t xml:space="preserve">A Leading State University in Tashkent</w:t>
      </w:r>
    </w:p>
    <w:p>
      <w:pPr>
        <w:pStyle w:val="BodyText"/>
      </w:pPr>
      <w:r>
        <w:rPr>
          <w:iCs/>
          <w:i/>
        </w:rPr>
        <w:t xml:space="preserve">Aziza represents a new generation of university lecturers in Uzbekistan. She completed her PhD abroad, returning to Tashkent to contribute to national development. Her daily routine reflects the hybrid nature of modern academia.</w:t>
      </w:r>
    </w:p>
    <w:bookmarkEnd w:id="27"/>
    <w:bookmarkStart w:id="33" w:name="X03f2b1b9040751cffb7cce642b5c717c4c06568"/>
    <w:p>
      <w:pPr>
        <w:pStyle w:val="Heading2"/>
      </w:pPr>
      <w:bookmarkStart w:id="28" w:name="challenges"/>
      <w:bookmarkEnd w:id="28"/>
      <w:r>
        <w:t xml:space="preserve">4. Key Challenges Faced by University Lecturers</w:t>
      </w:r>
    </w:p>
    <w:p>
      <w:pPr>
        <w:pStyle w:val="FirstParagraph"/>
      </w:pPr>
      <w:r>
        <w:t xml:space="preserve">The journey for a university lecturer in Tashkent is fraught with distinct challenges that differ from those in Western or even neighboring Asian countries.</w:t>
      </w:r>
    </w:p>
    <w:bookmarkStart w:id="29" w:name="bureaucratic-hurdles"/>
    <w:p>
      <w:pPr>
        <w:pStyle w:val="Heading3"/>
      </w:pPr>
      <w:r>
        <w:rPr>
          <w:bCs/>
          <w:b/>
        </w:rPr>
        <w:t xml:space="preserve">Bureaucratic Hurdles</w:t>
      </w:r>
    </w:p>
    <w:p>
      <w:pPr>
        <w:pStyle w:val="FirstParagraph"/>
      </w:pPr>
      <w:r>
        <w:t xml:space="preserve">Despite reforms, bureaucratic inertia remains significant. University lecturers often report spending up to 40% of their time on administrative paperwork rather than research or teaching. This includes compliance with state reporting standards, managing student enrollment processes manually in some cases, and navigating complex approval hierarchies for new curriculum proposals.</w:t>
      </w:r>
    </w:p>
    <w:bookmarkEnd w:id="29"/>
    <w:bookmarkStart w:id="30" w:name="the-language-barrier"/>
    <w:p>
      <w:pPr>
        <w:pStyle w:val="Heading3"/>
      </w:pPr>
      <w:r>
        <w:rPr>
          <w:bCs/>
          <w:b/>
        </w:rPr>
        <w:t xml:space="preserve">The Language Barrier</w:t>
      </w:r>
    </w:p>
    <w:p>
      <w:pPr>
        <w:pStyle w:val="FirstParagraph"/>
      </w:pPr>
      <w:r>
        <w:t xml:space="preserve">One of the most critical aspects of the current educational reform in Uzbekistan is the transition to English-medium instruction. While university lecturers may have strong theoretical knowledge, many struggle with delivering advanced technical content fluently in English. This creates a gap between what is taught and global standards. Aziza notes that "teaching algorithms in Uzbek or Russian was comfortable, but translating complex coding concepts into clear, accessible English requires constant professional development."</w:t>
      </w:r>
    </w:p>
    <w:bookmarkEnd w:id="30"/>
    <w:bookmarkStart w:id="31" w:name="resource-limitations"/>
    <w:p>
      <w:pPr>
        <w:pStyle w:val="Heading3"/>
      </w:pPr>
      <w:r>
        <w:rPr>
          <w:bCs/>
          <w:b/>
        </w:rPr>
        <w:t xml:space="preserve">Resource Limitations</w:t>
      </w:r>
    </w:p>
    <w:p>
      <w:pPr>
        <w:pStyle w:val="FirstParagraph"/>
      </w:pPr>
      <w:r>
        <w:t xml:space="preserve">In Tashkent, while top-tier universities have upgraded laboratories, many institutions still face shortages. University lecturers often find themselves improvising with outdated software or hardware. Furthermore, access to international academic databases can be restricted due to funding constraints or internet bandwidth issues in certain areas.</w:t>
      </w:r>
    </w:p>
    <w:bookmarkEnd w:id="31"/>
    <w:bookmarkStart w:id="32" w:name="cultural-resistance-to-change"/>
    <w:p>
      <w:pPr>
        <w:pStyle w:val="Heading3"/>
      </w:pPr>
      <w:r>
        <w:rPr>
          <w:bCs/>
          <w:b/>
        </w:rPr>
        <w:t xml:space="preserve">Cultural Resistance to Change</w:t>
      </w:r>
    </w:p>
    <w:p>
      <w:pPr>
        <w:pStyle w:val="FirstParagraph"/>
      </w:pPr>
      <w:r>
        <w:t xml:space="preserve">The traditional student-lecturer dynamic in Uzbekistan is hierarchical. Students are accustomed to passive learning and rote memorization. University lecturers attempting to implement active learning methodologies, such as flipped classrooms or critical debate, often face resistance from students who view this approach as inefficient for passing exams.</w:t>
      </w:r>
    </w:p>
    <w:bookmarkEnd w:id="32"/>
    <w:bookmarkEnd w:id="33"/>
    <w:bookmarkStart w:id="38" w:name="opportunities-and-strategic-adaptations"/>
    <w:p>
      <w:pPr>
        <w:pStyle w:val="Heading2"/>
      </w:pPr>
      <w:bookmarkStart w:id="34" w:name="opportunities"/>
      <w:bookmarkEnd w:id="34"/>
      <w:r>
        <w:t xml:space="preserve">5. Opportunities and Strategic Adaptations</w:t>
      </w:r>
    </w:p>
    <w:p>
      <w:pPr>
        <w:pStyle w:val="FirstParagraph"/>
      </w:pPr>
      <w:r>
        <w:t xml:space="preserve">Despite these challenges, the role of the university lecturer in Tashkent presents unique opportunities for impact and innovation.</w:t>
      </w:r>
    </w:p>
    <w:bookmarkStart w:id="35" w:name="digital-transformation"/>
    <w:p>
      <w:pPr>
        <w:pStyle w:val="Heading3"/>
      </w:pPr>
      <w:r>
        <w:rPr>
          <w:bCs/>
          <w:b/>
        </w:rPr>
        <w:t xml:space="preserve">Digital Transformation</w:t>
      </w:r>
    </w:p>
    <w:p>
      <w:pPr>
        <w:pStyle w:val="FirstParagraph"/>
      </w:pPr>
      <w:r>
        <w:t xml:space="preserve">The rapid adoption of digital tools in education has allowed university lecturers to reach wider audiences. Online platforms have enabled collaboration with peers globally, allowing them to share best practices and access global research networks. In Tashkent, there is a growing culture of "digital pedagogy," where lecturers are encouraged to create micro-learning content for social media and educational apps.</w:t>
      </w:r>
    </w:p>
    <w:bookmarkEnd w:id="35"/>
    <w:bookmarkStart w:id="36" w:name="international-collaboration"/>
    <w:p>
      <w:pPr>
        <w:pStyle w:val="Heading3"/>
      </w:pPr>
      <w:r>
        <w:rPr>
          <w:bCs/>
          <w:b/>
        </w:rPr>
        <w:t xml:space="preserve">International Collaboration</w:t>
      </w:r>
    </w:p>
    <w:p>
      <w:pPr>
        <w:pStyle w:val="FirstParagraph"/>
      </w:pPr>
      <w:r>
        <w:t xml:space="preserve">The government’s incentive structures reward international publications and joint research projects. University lecturers in Tashkent are increasingly finding co-authors in Europe, South Korea, and the USA. This not only boosts their academic standing but also brings fresh perspectives to the classroom.</w:t>
      </w:r>
    </w:p>
    <w:bookmarkEnd w:id="36"/>
    <w:bookmarkStart w:id="37" w:name="social-prestige"/>
    <w:p>
      <w:pPr>
        <w:pStyle w:val="Heading3"/>
      </w:pPr>
      <w:r>
        <w:rPr>
          <w:bCs/>
          <w:b/>
        </w:rPr>
        <w:t xml:space="preserve">Social Prestige</w:t>
      </w:r>
    </w:p>
    <w:p>
      <w:pPr>
        <w:pStyle w:val="FirstParagraph"/>
      </w:pPr>
      <w:r>
        <w:t xml:space="preserve">In Uzbek culture, educators hold a position of high respect. The university lecturer is seen as a guardian of national identity and progress. This social capital allows them to influence community policies and engage in public discourse, bridging the gap between academia and society.</w:t>
      </w:r>
    </w:p>
    <w:bookmarkEnd w:id="37"/>
    <w:bookmarkEnd w:id="38"/>
    <w:bookmarkStart w:id="40" w:name="socio-economic-impact"/>
    <w:p>
      <w:pPr>
        <w:pStyle w:val="Heading2"/>
      </w:pPr>
      <w:bookmarkStart w:id="39" w:name="impact"/>
      <w:bookmarkEnd w:id="39"/>
      <w:r>
        <w:t xml:space="preserve">6. Socio-Economic Impact</w:t>
      </w:r>
    </w:p>
    <w:p>
      <w:pPr>
        <w:pStyle w:val="FirstParagraph"/>
      </w:pPr>
      <w:r>
        <w:t xml:space="preserve">The work of university lecturers extends far beyond campus boundaries. In Tashkent, they play a crucial role in:</w:t>
      </w:r>
    </w:p>
    <w:p>
      <w:pPr>
        <w:numPr>
          <w:ilvl w:val="0"/>
          <w:numId w:val="1001"/>
        </w:numPr>
        <w:pStyle w:val="Compact"/>
      </w:pPr>
      <w:r>
        <w:rPr>
          <w:bCs/>
          <w:b/>
        </w:rPr>
        <w:t xml:space="preserve">Innovation Hubs:</w:t>
      </w:r>
      <w:r>
        <w:t xml:space="preserve"> </w:t>
      </w:r>
      <w:r>
        <w:t xml:space="preserve">Many university lecturers spin off startups from their research, contributing to the local tech ecosystem.</w:t>
      </w:r>
    </w:p>
    <w:p>
      <w:pPr>
        <w:numPr>
          <w:ilvl w:val="0"/>
          <w:numId w:val="1001"/>
        </w:numPr>
        <w:pStyle w:val="Compact"/>
      </w:pPr>
      <w:r>
        <w:rPr>
          <w:bCs/>
          <w:b/>
        </w:rPr>
        <w:t xml:space="preserve">Talent Retention:</w:t>
      </w:r>
      <w:r>
        <w:t xml:space="preserve"> </w:t>
      </w:r>
      <w:r>
        <w:t xml:space="preserve">By providing high-quality education locally, they reduce the "brain drain" that historically plagued Uzbekistan. Students are less likely to leave the country for further studies if Tashkent offers world-class facilities.</w:t>
      </w:r>
    </w:p>
    <w:p>
      <w:pPr>
        <w:numPr>
          <w:ilvl w:val="0"/>
          <w:numId w:val="1001"/>
        </w:numPr>
        <w:pStyle w:val="Compact"/>
      </w:pPr>
      <w:r>
        <w:rPr>
          <w:bCs/>
          <w:b/>
        </w:rPr>
        <w:t xml:space="preserve">Cultural Preservation:</w:t>
      </w:r>
      <w:r>
        <w:t xml:space="preserve"> </w:t>
      </w:r>
      <w:r>
        <w:t xml:space="preserve">In humanities and social sciences, university lecturers are tasked with reinterpreting Uzbek history and culture through modern lenses, fostering national pride while encouraging critical thinking.</w:t>
      </w:r>
    </w:p>
    <w:bookmarkEnd w:id="40"/>
    <w:bookmarkStart w:id="42" w:name="conclusion"/>
    <w:p>
      <w:pPr>
        <w:pStyle w:val="Heading2"/>
      </w:pPr>
      <w:bookmarkStart w:id="41" w:name="conclusion"/>
      <w:bookmarkEnd w:id="41"/>
      <w:r>
        <w:t xml:space="preserve">7. Conclusion</w:t>
      </w:r>
    </w:p>
    <w:p>
      <w:pPr>
        <w:pStyle w:val="FirstParagraph"/>
      </w:pPr>
      <w:r>
        <w:t xml:space="preserve">This case study highlights that the University Lecturer in Tashkent, Uzbekistan, is a figure of resilience and adaptability. They operate at the intersection of tradition and modernity, grappling with bureaucratic legacies while embracing global academic standards. The transformation of higher education in Uzbekistan is not merely a policy shift but a human endeavor driven by dedicated academics.</w:t>
      </w:r>
    </w:p>
    <w:p>
      <w:pPr>
        <w:pStyle w:val="BodyText"/>
      </w:pPr>
      <w:r>
        <w:t xml:space="preserve">For stakeholders involved in educational development, supporting university lecturers requires more than just funding infrastructure. It demands comprehensive professional development programs, particularly in English language proficiency and digital pedagogy. Furthermore, reducing administrative burdens and fostering an environment where innovative teaching methods are rewarded will be crucial for sustaining momentum.</w:t>
      </w:r>
    </w:p>
    <w:p>
      <w:pPr>
        <w:pStyle w:val="BodyText"/>
      </w:pPr>
      <w:r>
        <w:t xml:space="preserve">As Tashkent continues to emerge as a knowledge economy hub, the university lecturer remains the cornerstone of this evolution. Their ability to navigate challenges while leveraging opportunities will determine not only the quality of education in Uzbekistan but also its competitiveness on the global stage. The future of higher education in Central Asia depends heavily on empowering these individuals with the tools, autonomy, and recognition they deserve.</w:t>
      </w:r>
    </w:p>
    <w:p>
      <w:r>
        <w:pict>
          <v:rect style="width:0;height:1.5pt" o:hralign="center" o:hrstd="t" o:hr="t"/>
        </w:pict>
      </w:r>
    </w:p>
    <w:bookmarkEnd w:id="42"/>
    <w:bookmarkStart w:id="44" w:name="recommendations"/>
    <w:p>
      <w:pPr>
        <w:pStyle w:val="Heading2"/>
      </w:pPr>
      <w:bookmarkStart w:id="43" w:name="recommendations"/>
      <w:bookmarkEnd w:id="43"/>
      <w:r>
        <w:t xml:space="preserve">8. Recommendations</w:t>
      </w:r>
    </w:p>
    <w:p>
      <w:pPr>
        <w:numPr>
          <w:ilvl w:val="0"/>
          <w:numId w:val="1002"/>
        </w:numPr>
        <w:pStyle w:val="Compact"/>
      </w:pPr>
      <w:r>
        <w:rPr>
          <w:bCs/>
          <w:b/>
        </w:rPr>
        <w:t xml:space="preserve">Prioritize Language Training:</w:t>
      </w:r>
      <w:r>
        <w:t xml:space="preserve"> </w:t>
      </w:r>
      <w:r>
        <w:t xml:space="preserve">Establish dedicated centers within universities in Tashkent for intensive English-for-Academic-Purposes training.</w:t>
      </w:r>
    </w:p>
    <w:p>
      <w:pPr>
        <w:numPr>
          <w:ilvl w:val="0"/>
          <w:numId w:val="1002"/>
        </w:numPr>
        <w:pStyle w:val="Compact"/>
      </w:pPr>
      <w:r>
        <w:rPr>
          <w:bCs/>
          <w:b/>
        </w:rPr>
        <w:t xml:space="preserve">Digital Infrastructure Investment:</w:t>
      </w:r>
      <w:r>
        <w:t xml:space="preserve"> </w:t>
      </w:r>
      <w:r>
        <w:t xml:space="preserve">Ensure reliable high-speed internet access and modern software licenses for all faculty members.</w:t>
      </w:r>
    </w:p>
    <w:p>
      <w:pPr>
        <w:numPr>
          <w:ilvl w:val="0"/>
          <w:numId w:val="1002"/>
        </w:numPr>
        <w:pStyle w:val="Compact"/>
      </w:pPr>
      <w:r>
        <w:rPr>
          <w:bCs/>
          <w:b/>
        </w:rPr>
        <w:t xml:space="preserve">Incentivize Research:</w:t>
      </w:r>
      <w:r>
        <w:t xml:space="preserve"> </w:t>
      </w:r>
      <w:r>
        <w:t xml:space="preserve">Simplify the grant application process and provide sabbatical leaves for research-focused university lecturers.</w:t>
      </w:r>
    </w:p>
    <w:p>
      <w:pPr>
        <w:numPr>
          <w:ilvl w:val="0"/>
          <w:numId w:val="1002"/>
        </w:numPr>
        <w:pStyle w:val="Compact"/>
      </w:pPr>
      <w:r>
        <w:rPr>
          <w:bCs/>
          <w:b/>
        </w:rPr>
        <w:t xml:space="preserve">Industry Partnerships:</w:t>
      </w:r>
      <w:r>
        <w:t xml:space="preserve"> </w:t>
      </w:r>
      <w:r>
        <w:t xml:space="preserve">Encourage "dual-appointment" roles where university lecturers can spend time in industry to stay current with practical applications.</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University Lecturer in Uzbekistan, Tashkent</dc:title>
  <dc:creator/>
  <dc:language>en</dc:language>
  <cp:keywords/>
  <dcterms:created xsi:type="dcterms:W3CDTF">2026-07-29T08:59:18Z</dcterms:created>
  <dcterms:modified xsi:type="dcterms:W3CDTF">2026-07-29T08:59:18Z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