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Transformation</w:t>
      </w:r>
      <w:r>
        <w:t xml:space="preserve"> </w:t>
      </w:r>
      <w:r>
        <w:t xml:space="preserve">in</w:t>
      </w:r>
      <w:r>
        <w:t xml:space="preserve"> </w:t>
      </w:r>
      <w:r>
        <w:t xml:space="preserve">Australia</w:t>
      </w:r>
      <w:r>
        <w:t xml:space="preserve"> </w:t>
      </w:r>
      <w:r>
        <w:t xml:space="preserve">Melbourne</w:t>
      </w:r>
    </w:p>
    <w:bookmarkStart w:id="27" w:name="Xb42e14e19695af296ec0a05f59f39c89d1d54db"/>
    <w:p>
      <w:pPr>
        <w:pStyle w:val="Heading1"/>
      </w:pPr>
      <w:r>
        <w:t xml:space="preserve">Navigating Digital Complexity in Australia Melbourne</w:t>
      </w:r>
    </w:p>
    <w:bookmarkStart w:id="20" w:name="X1b2e649e9bac8b8a69c91060f30c9751bc987c6"/>
    <w:p>
      <w:pPr>
        <w:pStyle w:val="Heading2"/>
      </w:pPr>
      <w:r>
        <w:t xml:space="preserve">The Strategic Imperative for a UX/UI Designer</w:t>
      </w:r>
    </w:p>
    <w:p>
      <w:pPr>
        <w:pStyle w:val="FirstParagraph"/>
      </w:pPr>
      <w:r>
        <w:t xml:space="preserve">In the rapidly evolving digital landscape of</w:t>
      </w:r>
      <w:r>
        <w:t xml:space="preserve"> </w:t>
      </w:r>
      <w:r>
        <w:rPr>
          <w:bCs/>
          <w:b/>
        </w:rPr>
        <w:t xml:space="preserve">Australia Melbourne</w:t>
      </w:r>
      <w:r>
        <w:t xml:space="preserve">, the distinction between mere website functionality and exceptional user experience is no longer subtle; it is critical. For businesses operating within this vibrant hub, engaging a specialized</w:t>
      </w:r>
      <w:r>
        <w:t xml:space="preserve"> </w:t>
      </w:r>
      <w:r>
        <w:rPr>
          <w:bCs/>
          <w:b/>
        </w:rPr>
        <w:t xml:space="preserve">UX UI Designer</w:t>
      </w:r>
      <w:r>
        <w:t xml:space="preserve"> </w:t>
      </w:r>
      <w:r>
        <w:t xml:space="preserve">has transitioned from an aesthetic luxury to a fundamental business strategy. This document serves as a comprehensive case study analyzing how strategic design interventions in the</w:t>
      </w:r>
      <w:r>
        <w:t xml:space="preserve"> </w:t>
      </w:r>
      <w:r>
        <w:rPr>
          <w:bCs/>
          <w:b/>
        </w:rPr>
        <w:t xml:space="preserve">Australia Melbourne</w:t>
      </w:r>
      <w:r>
        <w:t xml:space="preserve"> </w:t>
      </w:r>
      <w:r>
        <w:t xml:space="preserve">market can drive engagement, retention, and conversion.</w:t>
      </w:r>
    </w:p>
    <w:p>
      <w:pPr>
        <w:pStyle w:val="BodyText"/>
      </w:pPr>
      <w:r>
        <w:rPr>
          <w:bCs/>
          <w:b/>
        </w:rPr>
        <w:t xml:space="preserve">Australia Melbourne</w:t>
      </w:r>
      <w:r>
        <w:t xml:space="preserve">, known for its thriving startup ecosystem, robust financial services sector, and dynamic cultural scene, presents unique challenges for digital products. The user base is diverse, highly digitally literate, and increasingly demanding of seamless omnichannel experiences. Within this context, the role of the</w:t>
      </w:r>
      <w:r>
        <w:t xml:space="preserve"> </w:t>
      </w:r>
      <w:r>
        <w:rPr>
          <w:bCs/>
          <w:b/>
        </w:rPr>
        <w:t xml:space="preserve">UX UI Designer</w:t>
      </w:r>
      <w:r>
        <w:t xml:space="preserve"> </w:t>
      </w:r>
      <w:r>
        <w:t xml:space="preserve">becomes pivotal in translating complex business requirements into intuitive interfaces that resonate with local consumer behaviors.</w:t>
      </w:r>
    </w:p>
    <w:bookmarkEnd w:id="20"/>
    <w:bookmarkStart w:id="21" w:name="X8612efc219b22f5c08ee14f6857d561edd14e62"/>
    <w:p>
      <w:pPr>
        <w:pStyle w:val="Heading2"/>
      </w:pPr>
      <w:r>
        <w:t xml:space="preserve">The Client Profile: GreenCity Logistics Melbourne</w:t>
      </w:r>
    </w:p>
    <w:p>
      <w:pPr>
        <w:pStyle w:val="FirstParagraph"/>
      </w:pPr>
      <w:r>
        <w:t xml:space="preserve">To illustrate these principles, we examine a fictional but representative scenario involving "GreenCity Logistics," a mid-sized supply chain company headquartered in the heart of</w:t>
      </w:r>
      <w:r>
        <w:t xml:space="preserve"> </w:t>
      </w:r>
      <w:r>
        <w:rPr>
          <w:bCs/>
          <w:b/>
        </w:rPr>
        <w:t xml:space="preserve">Australia Melbourne</w:t>
      </w:r>
      <w:r>
        <w:t xml:space="preserve">. Despite having superior logistical algorithms and competitive pricing, GreenCity struggled with high user churn on their customer portal. Users found the dashboard cluttered, navigation confusing, and mobile responsiveness lacking.</w:t>
      </w:r>
    </w:p>
    <w:p>
      <w:pPr>
        <w:pStyle w:val="BodyText"/>
      </w:pPr>
      <w:r>
        <w:t xml:space="preserve">The challenge was not merely technical but deeply rooted in user experience (UX) friction. The existing interface failed to account for the specific workflow needs of Melbourne-based fleet managers who often accessed the system via tablets while on the move. This gap represented a significant opportunity for a skilled</w:t>
      </w:r>
      <w:r>
        <w:t xml:space="preserve"> </w:t>
      </w:r>
      <w:r>
        <w:rPr>
          <w:bCs/>
          <w:b/>
        </w:rPr>
        <w:t xml:space="preserve">UX UI Designer</w:t>
      </w:r>
      <w:r>
        <w:t xml:space="preserve"> </w:t>
      </w:r>
      <w:r>
        <w:t xml:space="preserve">to intervene and restructure the digital touchpoints.</w:t>
      </w:r>
    </w:p>
    <w:bookmarkEnd w:id="21"/>
    <w:bookmarkStart w:id="22" w:name="X0fe7f35c05365366eb9d22d818b7f5436b26ace"/>
    <w:p>
      <w:pPr>
        <w:pStyle w:val="Heading2"/>
      </w:pPr>
      <w:r>
        <w:t xml:space="preserve">The Design Process: A User-Centric Approach</w:t>
      </w:r>
    </w:p>
    <w:p>
      <w:pPr>
        <w:pStyle w:val="FirstParagraph"/>
      </w:pPr>
      <w:r>
        <w:t xml:space="preserve">The engagement with the</w:t>
      </w:r>
      <w:r>
        <w:t xml:space="preserve"> </w:t>
      </w:r>
      <w:r>
        <w:rPr>
          <w:bCs/>
          <w:b/>
        </w:rPr>
        <w:t xml:space="preserve">UX UI Designer</w:t>
      </w:r>
      <w:r>
        <w:t xml:space="preserve">Australia Melbourne, from the central business district to emerging suburbs in the east. The goal was to understand not just what users clicked, but why they abandoned tasks and where cognitive load became overwhelming.</w:t>
      </w:r>
    </w:p>
    <w:p>
      <w:pPr>
        <w:pStyle w:val="BodyText"/>
      </w:pPr>
      <w:r>
        <w:rPr>
          <w:bCs/>
          <w:b/>
        </w:rPr>
        <w:t xml:space="preserve">1. Research and Empathy Mapping:</w:t>
      </w:r>
    </w:p>
    <w:p>
      <w:pPr>
        <w:pStyle w:val="BodyText"/>
      </w:pPr>
      <w:r>
        <w:t xml:space="preserve">The initial research highlighted a critical insight: Melbourne users preferred clean, minimalist aesthetics over feature-dense layouts. The term "Australian efficiency" emerged as a key descriptor—users wanted speed, clarity, and zero unnecessary steps. This cultural nuance is something an external designer might miss without on-the-ground presence in</w:t>
      </w:r>
      <w:r>
        <w:t xml:space="preserve"> </w:t>
      </w:r>
      <w:r>
        <w:rPr>
          <w:bCs/>
          <w:b/>
        </w:rPr>
        <w:t xml:space="preserve">Australia Melbourne</w:t>
      </w:r>
      <w:r>
        <w:t xml:space="preserve">.</w:t>
      </w:r>
    </w:p>
    <w:p>
      <w:pPr>
        <w:pStyle w:val="BodyText"/>
      </w:pPr>
      <w:r>
        <w:rPr>
          <w:bCs/>
          <w:b/>
        </w:rPr>
        <w:t xml:space="preserve">2. Information Architecture (IA) Restructuring:</w:t>
      </w:r>
    </w:p>
    <w:p>
      <w:pPr>
        <w:pStyle w:val="BodyText"/>
      </w:pPr>
      <w:r>
        <w:t xml:space="preserve">Leveraging these insights, the</w:t>
      </w:r>
      <w:r>
        <w:t xml:space="preserve"> </w:t>
      </w:r>
      <w:r>
        <w:rPr>
          <w:bCs/>
          <w:b/>
        </w:rPr>
        <w:t xml:space="preserve">UX UI Designer</w:t>
      </w:r>
      <w:r>
        <w:t xml:space="preserve"> </w:t>
      </w:r>
      <w:r>
        <w:t xml:space="preserve">reorganized the information architecture. The primary navigation was reduced to four core pillars: Dashboard, Fleet Tracking, Invoicing, and Support. Deep-dive menus were collapsed into progressive disclosure patterns, ensuring that complex data was available but not intrusive.</w:t>
      </w:r>
    </w:p>
    <w:p>
      <w:pPr>
        <w:pStyle w:val="BodyText"/>
      </w:pPr>
      <w:r>
        <w:rPr>
          <w:bCs/>
          <w:b/>
        </w:rPr>
        <w:t xml:space="preserve">3. Visual Interface Design (UI):**</w:t>
      </w:r>
    </w:p>
    <w:p>
      <w:pPr>
        <w:pStyle w:val="BodyText"/>
      </w:pPr>
      <w:r>
        <w:t xml:space="preserve">In the UI phase, the designer adopted a color palette inspired by the natural tones of Victoria—earthy greens and deep blues—to subconsciously reinforce brand values of sustainability and reliability. Typography was selected for maximum legibility on smaller screens, acknowledging that many Melbourne users accessed logistics updates via smartphones during commutes.</w:t>
      </w:r>
    </w:p>
    <w:bookmarkEnd w:id="22"/>
    <w:bookmarkStart w:id="23" w:name="X82cfc9aaca9a2f97cae5d42723f1f9c416d3060"/>
    <w:p>
      <w:pPr>
        <w:pStyle w:val="Heading2"/>
      </w:pPr>
      <w:r>
        <w:t xml:space="preserve">Challenges Specific to Australia Melbourne</w:t>
      </w:r>
    </w:p>
    <w:p>
      <w:pPr>
        <w:pStyle w:val="FirstParagraph"/>
      </w:pPr>
      <w:r>
        <w:t xml:space="preserve">Executing this design overhaul required navigating specific regional hurdles. One significant challenge was adapting the platform to comply with local data privacy expectations while maintaining a frictionless login process. The</w:t>
      </w:r>
      <w:r>
        <w:t xml:space="preserve"> </w:t>
      </w:r>
      <w:r>
        <w:rPr>
          <w:bCs/>
          <w:b/>
        </w:rPr>
        <w:t xml:space="preserve">UX UI Designer</w:t>
      </w:r>
      <w:r>
        <w:t xml:space="preserve">, familiar with the regulatory environment in</w:t>
      </w:r>
      <w:r>
        <w:t xml:space="preserve"> </w:t>
      </w:r>
      <w:r>
        <w:rPr>
          <w:bCs/>
          <w:b/>
        </w:rPr>
        <w:t xml:space="preserve">Australia Melbourne</w:t>
      </w:r>
      <w:r>
        <w:t xml:space="preserve">, implemented a seamless two-factor authentication flow that felt secure yet unobtrusive.</w:t>
      </w:r>
    </w:p>
    <w:p>
      <w:pPr>
        <w:pStyle w:val="BodyText"/>
      </w:pPr>
      <w:r>
        <w:t xml:space="preserve">Furthermore, accessibility was paramount. Australian standards (AS 1428) require rigorous adherence to digital inclusivity. The</w:t>
      </w:r>
      <w:r>
        <w:t xml:space="preserve"> </w:t>
      </w:r>
      <w:r>
        <w:rPr>
          <w:bCs/>
          <w:b/>
        </w:rPr>
        <w:t xml:space="preserve">UX UI Designer</w:t>
      </w:r>
      <w:r>
        <w:t xml:space="preserve"> </w:t>
      </w:r>
      <w:r>
        <w:t xml:space="preserve">ensured that color contrasts met WCAG AA standards and that screen reader compatibility was tested thoroughly. This attention to detail is crucial for any design project aiming for long-term viability in</w:t>
      </w:r>
      <w:r>
        <w:t xml:space="preserve"> </w:t>
      </w:r>
      <w:r>
        <w:rPr>
          <w:bCs/>
          <w:b/>
        </w:rPr>
        <w:t xml:space="preserve">Australia Melbourne</w:t>
      </w:r>
      <w:r>
        <w:t xml:space="preserve">.</w:t>
      </w:r>
    </w:p>
    <w:bookmarkEnd w:id="23"/>
    <w:bookmarkStart w:id="24" w:name="outcomes-and-impact-analysis"/>
    <w:p>
      <w:pPr>
        <w:pStyle w:val="Heading2"/>
      </w:pPr>
      <w:r>
        <w:t xml:space="preserve">Outcomes and Impact Analysis</w:t>
      </w:r>
    </w:p>
    <w:p>
      <w:pPr>
        <w:pStyle w:val="FirstParagraph"/>
      </w:pPr>
      <w:r>
        <w:t xml:space="preserve">The launch of the redesigned portal yielded measurable results within three months, validating the strategic value of professional UX/UI expertise.</w:t>
      </w:r>
    </w:p>
    <w:p>
      <w:pPr>
        <w:numPr>
          <w:ilvl w:val="0"/>
          <w:numId w:val="1001"/>
        </w:numPr>
        <w:pStyle w:val="Compact"/>
      </w:pPr>
      <w:r>
        <w:rPr>
          <w:bCs/>
          <w:b/>
        </w:rPr>
        <w:t xml:space="preserve">User Retention:</w:t>
      </w:r>
      <w:r>
        <w:t xml:space="preserve"> </w:t>
      </w:r>
      <w:r>
        <w:t xml:space="preserve">Churn rates decreased by 35%, as users reported feeling more in control and less frustrated when managing their logistics.</w:t>
      </w:r>
    </w:p>
    <w:p>
      <w:pPr>
        <w:numPr>
          <w:ilvl w:val="0"/>
          <w:numId w:val="1001"/>
        </w:numPr>
        <w:pStyle w:val="Compact"/>
      </w:pPr>
      <w:r>
        <w:rPr>
          <w:bCs/>
          <w:b/>
        </w:rPr>
        <w:t xml:space="preserve">Efficiency Gains:</w:t>
      </w:r>
      <w:r>
        <w:t xml:space="preserve"> </w:t>
      </w:r>
      <w:r>
        <w:t xml:space="preserve">The average time to complete an invoice review dropped from four minutes to ninety seconds, demonstrating the effectiveness of the streamlined IA developed by the</w:t>
      </w:r>
      <w:r>
        <w:t xml:space="preserve"> </w:t>
      </w:r>
      <w:r>
        <w:rPr>
          <w:bCs/>
          <w:b/>
        </w:rPr>
        <w:t xml:space="preserve">UX UI Designer</w:t>
      </w:r>
      <w:r>
        <w:t xml:space="preserve">.</w:t>
      </w:r>
    </w:p>
    <w:p>
      <w:pPr>
        <w:numPr>
          <w:ilvl w:val="0"/>
          <w:numId w:val="1001"/>
        </w:numPr>
        <w:pStyle w:val="Compact"/>
      </w:pPr>
      <w:r>
        <w:rPr>
          <w:bCs/>
          <w:b/>
        </w:rPr>
        <w:t xml:space="preserve">Satisfaction Scores:</w:t>
      </w:r>
      <w:r>
        <w:t xml:space="preserve">NPS (Net Promoter Score) increased by 40 points among clients in</w:t>
      </w:r>
    </w:p>
    <w:p>
      <w:pPr>
        <w:numPr>
          <w:ilvl w:val="0"/>
          <w:numId w:val="1000"/>
        </w:numPr>
        <w:pStyle w:val="Compact"/>
      </w:pPr>
      <w:r>
        <w:t xml:space="preserve">Australia Melbourne, citing "ease of use" and "modern design"</w:t>
      </w:r>
    </w:p>
    <w:bookmarkEnd w:id="24"/>
    <w:bookmarkStart w:id="25" w:name="X19c0043fc077f51c63c7052c398c83d2dfcbd42"/>
    <w:p>
      <w:pPr>
        <w:pStyle w:val="Heading2"/>
      </w:pPr>
      <w:r>
        <w:t xml:space="preserve">The Role of Local Context in Design Success</w:t>
      </w:r>
    </w:p>
    <w:p>
      <w:pPr>
        <w:pStyle w:val="FirstParagraph"/>
      </w:pPr>
      <w:r>
        <w:t xml:space="preserve">This case study underscores that a</w:t>
      </w:r>
      <w:r>
        <w:t xml:space="preserve"> </w:t>
      </w:r>
      <w:r>
        <w:rPr>
          <w:bCs/>
          <w:b/>
        </w:rPr>
        <w:t xml:space="preserve">UX UI Designer</w:t>
      </w:r>
      <w:r>
        <w:t xml:space="preserve">Australia Melbourne, where the business culture values transparency, directness, and egalitarianism, the interface reflected these traits through clear language and open navigation structures.</w:t>
      </w:r>
    </w:p>
    <w:p>
      <w:pPr>
        <w:pStyle w:val="BodyText"/>
      </w:pPr>
      <w:r>
        <w:t xml:space="preserve">The success of GreenCity Logistics proves that localizing design strategy to fit the nuances of</w:t>
      </w:r>
      <w:r>
        <w:t xml:space="preserve"> </w:t>
      </w:r>
      <w:r>
        <w:rPr>
          <w:bCs/>
          <w:b/>
        </w:rPr>
        <w:t xml:space="preserve">Australia Melbourne</w:t>
      </w:r>
      <w:r>
        <w:t xml:space="preserve"> </w:t>
      </w:r>
      <w:r>
        <w:t xml:space="preserve">is not optional—it is essential. A generic global template failed because it did not respect the specific workflows and aesthetic preferences of Melbourne users. Only a dedicated</w:t>
      </w:r>
      <w:r>
        <w:t xml:space="preserve"> </w:t>
      </w:r>
      <w:r>
        <w:rPr>
          <w:bCs/>
          <w:b/>
        </w:rPr>
        <w:t xml:space="preserve">UX UI Designer</w:t>
      </w:r>
      <w:r>
        <w:t xml:space="preserve">, embedded in or deeply knowledgeable about the</w:t>
      </w:r>
      <w:r>
        <w:t xml:space="preserve"> </w:t>
      </w:r>
      <w:r>
        <w:rPr>
          <w:bCs/>
          <w:b/>
        </w:rPr>
        <w:t xml:space="preserve">Australia Melbourne</w:t>
      </w:r>
    </w:p>
    <w:bookmarkEnd w:id="25"/>
    <w:bookmarkStart w:id="26" w:name="X5c49bc9bb1d25c56778a78f8266ada1d0ea3137"/>
    <w:p>
      <w:pPr>
        <w:pStyle w:val="Heading2"/>
      </w:pPr>
      <w:r>
        <w:t xml:space="preserve">Conclusion: Investing in Design Excellence</w:t>
      </w:r>
    </w:p>
    <w:p>
      <w:pPr>
        <w:pStyle w:val="FirstParagraph"/>
      </w:pPr>
      <w:r>
        <w:t xml:space="preserve">The transformation of GreenCity Logistics serves as a blueprint for other enterprises across</w:t>
      </w:r>
    </w:p>
    <w:p>
      <w:pPr>
        <w:pStyle w:val="BodyText"/>
      </w:pPr>
      <w:r>
        <w:t xml:space="preserve">Australia Melbourne. It demonstrates that investing in high-quality UX/UI design yields substantial ROI through improved user engagement and operational efficiency.</w:t>
      </w:r>
    </w:p>
    <w:p>
      <w:pPr>
        <w:pStyle w:val="BodyText"/>
      </w:pPr>
      <w:r>
        <w:t xml:space="preserve">For businesses looking to thrive, the call to action is clear: partner with a</w:t>
      </w:r>
      <w:r>
        <w:t xml:space="preserve"> </w:t>
      </w:r>
      <w:r>
        <w:rPr>
          <w:bCs/>
          <w:b/>
        </w:rPr>
        <w:t xml:space="preserve">UX UI Designer</w:t>
      </w:r>
      <w:r>
        <w:t xml:space="preserve"> </w:t>
      </w:r>
      <w:r>
        <w:t xml:space="preserve">who understands the pulse of</w:t>
      </w:r>
      <w:r>
        <w:t xml:space="preserve"> </w:t>
      </w:r>
      <w:r>
        <w:rPr>
          <w:bCs/>
          <w:b/>
        </w:rPr>
        <w:t xml:space="preserve">Australia Melbourne</w:t>
      </w:r>
    </w:p>
    <w:p>
      <w:pPr>
        <w:pStyle w:val="BodyText"/>
      </w:pPr>
      <w:r>
        <w:t xml:space="preserve">In summary,</w:t>
      </w:r>
      <w:r>
        <w:rPr>
          <w:bCs/>
          <w:b/>
        </w:rPr>
        <w:t xml:space="preserve">Australia Melbourne</w:t>
      </w:r>
      <w:r>
        <w:t xml:space="preserve"> </w:t>
      </w:r>
      <w:r>
        <w:t xml:space="preserve">presents a fertile ground for design innovation. The synergy between local user needs and professional</w:t>
      </w:r>
      <w:r>
        <w:t xml:space="preserve"> </w:t>
      </w:r>
      <w:r>
        <w:rPr>
          <w:bCs/>
          <w:b/>
        </w:rPr>
        <w:t xml:space="preserve">UX UI Designer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Transformation in Australia Melbourne</dc:title>
  <dc:creator/>
  <dc:language>en</dc:language>
  <cp:keywords/>
  <dcterms:created xsi:type="dcterms:W3CDTF">2026-07-29T06:08:21Z</dcterms:created>
  <dcterms:modified xsi:type="dcterms:W3CDTF">2026-07-29T06:08:21Z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