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for</w:t>
      </w:r>
      <w:r>
        <w:t xml:space="preserve"> </w:t>
      </w:r>
      <w:r>
        <w:t xml:space="preserve">a</w:t>
      </w:r>
      <w:r>
        <w:t xml:space="preserve"> </w:t>
      </w:r>
      <w:r>
        <w:t xml:space="preserve">Leading</w:t>
      </w:r>
      <w:r>
        <w:t xml:space="preserve"> </w:t>
      </w:r>
      <w:r>
        <w:t xml:space="preserve">Financial</w:t>
      </w:r>
      <w:r>
        <w:t xml:space="preserve"> </w:t>
      </w:r>
      <w:r>
        <w:t xml:space="preserve">Institution</w:t>
      </w:r>
      <w:r>
        <w:t xml:space="preserve"> </w:t>
      </w:r>
      <w:r>
        <w:t xml:space="preserve">in</w:t>
      </w:r>
      <w:r>
        <w:t xml:space="preserve"> </w:t>
      </w:r>
      <w:r>
        <w:t xml:space="preserve">Canada</w:t>
      </w:r>
      <w:r>
        <w:t xml:space="preserve"> </w:t>
      </w:r>
      <w:r>
        <w:t xml:space="preserve">Montreal</w:t>
      </w:r>
    </w:p>
    <w:bookmarkStart w:id="32" w:name="Xcd3310ddbe189480cdcf2a462ebf54ea0360902"/>
    <w:p>
      <w:pPr>
        <w:pStyle w:val="Heading1"/>
      </w:pPr>
      <w:r>
        <w:t xml:space="preserve">Bridging the Digital Divide in a Bilingual Hub</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Canada Montreal</w:t>
      </w:r>
      <w:r>
        <w:br/>
      </w:r>
      <w:r>
        <w:rPr>
          <w:bCs/>
          <w:b/>
        </w:rPr>
        <w:t xml:space="preserve">Rolue:</w:t>
      </w:r>
    </w:p>
    <w:p>
      <w:pPr>
        <w:pStyle w:val="BodyText"/>
      </w:pPr>
      <w:r>
        <w:t xml:space="preserve">&gt;UX UI Designer</w:t>
      </w:r>
    </w:p>
    <w:p>
      <w:pPr>
        <w:pStyle w:val="BodyText"/>
      </w:pPr>
      <w:r>
        <w:t xml:space="preserve">&gt;</w:t>
      </w:r>
    </w:p>
    <w:p>
      <w:pPr>
        <w:pStyle w:val="BodyText"/>
      </w:pPr>
      <w:r>
        <w:t xml:space="preserve">&gt;</w:t>
      </w:r>
    </w:p>
    <w:bookmarkStart w:id="20" w:name="executive-summary"/>
    <w:p>
      <w:pPr>
        <w:pStyle w:val="Heading3"/>
      </w:pPr>
      <w:r>
        <w:t xml:space="preserve">Executive Summary</w:t>
      </w:r>
    </w:p>
    <w:p>
      <w:pPr>
        <w:pStyle w:val="FirstParagraph"/>
      </w:pPr>
      <w:r>
        <w:t xml:space="preserve">This Case Study examines the comprehensive UX/UI redesign of "FinCorp Quebec," a mid-sized financial services firm based in Canada Montreal. The project aimed to modernize their digital banking platform to serve a diverse, bilingual population while adhering to strict accessibility standards. As an</w:t>
      </w:r>
      <w:r>
        <w:t xml:space="preserve"> </w:t>
      </w:r>
      <w:r>
        <w:rPr>
          <w:bCs/>
          <w:b/>
        </w:rPr>
        <w:t xml:space="preserve">UX UI Designer</w:t>
      </w:r>
      <w:r>
        <w:t xml:space="preserve">, the primary challenge was not only aesthetic modernization but also cultural and linguistic localization specific to the unique demographic of</w:t>
      </w:r>
      <w:r>
        <w:t xml:space="preserve"> </w:t>
      </w:r>
      <w:r>
        <w:rPr>
          <w:bCs/>
          <w:b/>
        </w:rPr>
        <w:t xml:space="preserve">Canada Montreal</w:t>
      </w:r>
      <w:r>
        <w:t xml:space="preserve">.</w:t>
      </w:r>
    </w:p>
    <w:bookmarkEnd w:id="20"/>
    <w:bookmarkStart w:id="21" w:name="the-challenge-a-unique-local-context"/>
    <w:p>
      <w:pPr>
        <w:pStyle w:val="Heading2"/>
      </w:pPr>
      <w:r>
        <w:t xml:space="preserve">1. The Challenge: A Unique Local Context</w:t>
      </w:r>
    </w:p>
    <w:p>
      <w:pPr>
        <w:pStyle w:val="FirstParagraph"/>
      </w:pPr>
      <w:r>
        <w:t xml:space="preserve">The digital landscape in Canada is distinct, characterized by a strong emphasis on accessibility, privacy (PIPEDA compliance), and bilingualism. In the heart of</w:t>
      </w:r>
      <w:r>
        <w:t xml:space="preserve"> </w:t>
      </w:r>
      <w:r>
        <w:rPr>
          <w:bCs/>
          <w:b/>
        </w:rPr>
        <w:t xml:space="preserve">Canada Montreal</w:t>
      </w:r>
      <w:r>
        <w:t xml:space="preserve">, the user base is predominantly French-speaking but includes a significant demographic of English speakers and immigrants from non-traditional language backgrounds. FinCorp Quebec faced a critical issue: their existing web application had a high bounce rate among users under 40 and an unacceptable accessibility score for users with visual impairments.</w:t>
      </w:r>
    </w:p>
    <w:p>
      <w:pPr>
        <w:pStyle w:val="BodyText"/>
      </w:pPr>
      <w:r>
        <w:t xml:space="preserve">The core problems identified were:</w:t>
      </w:r>
    </w:p>
    <w:p>
      <w:pPr>
        <w:numPr>
          <w:ilvl w:val="0"/>
          <w:numId w:val="1001"/>
        </w:numPr>
        <w:pStyle w:val="Compact"/>
      </w:pPr>
      <w:r>
        <w:rPr>
          <w:bCs/>
          <w:b/>
        </w:rPr>
        <w:t xml:space="preserve">Linguistic Fragmentation:</w:t>
      </w:r>
      <w:r>
        <w:t xml:space="preserve"> </w:t>
      </w:r>
      <w:r>
        <w:t xml:space="preserve">The interface lacked seamless switching between French and English, leading to confusion.</w:t>
      </w:r>
    </w:p>
    <w:p>
      <w:pPr>
        <w:numPr>
          <w:ilvl w:val="0"/>
          <w:numId w:val="1001"/>
        </w:numPr>
        <w:pStyle w:val="Compact"/>
      </w:pPr>
      <w:r>
        <w:rPr>
          <w:bCs/>
          <w:b/>
        </w:rPr>
        <w:t xml:space="preserve">Cognitive Load: Complex financial jargon and cluttered interfaces overwhelmed users.&gt;</w:t>
      </w:r>
    </w:p>
    <w:p>
      <w:pPr>
        <w:numPr>
          <w:ilvl w:val="0"/>
          <w:numId w:val="1001"/>
        </w:numPr>
        <w:pStyle w:val="Compact"/>
      </w:pPr>
      <w:r>
        <w:t xml:space="preserve">Accessibility Gaps: Non-compliance with WCAG 2.1 AA standards was a legal and ethical risk in</w:t>
      </w:r>
      <w:r>
        <w:t xml:space="preserve"> </w:t>
      </w:r>
      <w:r>
        <w:rPr>
          <w:bCs/>
          <w:b/>
        </w:rPr>
        <w:t xml:space="preserve">Canada Montreal</w:t>
      </w:r>
      <w:r>
        <w:t xml:space="preserve">.&gt;</w:t>
      </w:r>
    </w:p>
    <w:p>
      <w:pPr>
        <w:pStyle w:val="FirstParagraph"/>
      </w:pPr>
      <w:r>
        <w:t xml:space="preserve">&gt;</w:t>
      </w:r>
    </w:p>
    <w:bookmarkEnd w:id="21"/>
    <w:bookmarkStart w:id="24" w:name="the-role-of-the-ux-ui-designer"/>
    <w:p>
      <w:pPr>
        <w:pStyle w:val="Heading2"/>
      </w:pPr>
      <w:r>
        <w:t xml:space="preserve">2. The Role of the UX UI Designer</w:t>
      </w:r>
    </w:p>
    <w:p>
      <w:pPr>
        <w:pStyle w:val="FirstParagraph"/>
      </w:pPr>
      <w:r>
        <w:t xml:space="preserve">The success of this initiative hinged on the multifaceted role of the</w:t>
      </w:r>
      <w:r>
        <w:t xml:space="preserve"> </w:t>
      </w:r>
      <w:r>
        <w:rPr>
          <w:bCs/>
          <w:b/>
        </w:rPr>
        <w:t xml:space="preserve">UX UI Designer</w:t>
      </w:r>
      <w:r>
        <w:t xml:space="preserve">. Unlike a standard design task, this project required deep empathy for local cultural nuances. The designer had to act as a researcher, strategist, and visual artist simultaneously.</w:t>
      </w:r>
    </w:p>
    <w:bookmarkStart w:id="22" w:name="user-research-empathy-mapping"/>
    <w:p>
      <w:pPr>
        <w:pStyle w:val="Heading3"/>
      </w:pPr>
      <w:r>
        <w:t xml:space="preserve">User Research &amp; Empathy Mapping</w:t>
      </w:r>
    </w:p>
    <w:p>
      <w:pPr>
        <w:pStyle w:val="FirstParagraph"/>
      </w:pPr>
      <w:r>
        <w:t xml:space="preserve">The first phase involved extensive user interviews conducted in-person across various boroughs of</w:t>
      </w:r>
      <w:r>
        <w:t xml:space="preserve"> </w:t>
      </w:r>
      <w:r>
        <w:rPr>
          <w:bCs/>
          <w:b/>
        </w:rPr>
        <w:t xml:space="preserve">Canada Montreal</w:t>
      </w:r>
      <w:r>
        <w:t xml:space="preserve">. The goal was to understand how financial anxiety manifests differently in French-speaking versus English-speaking users. The research revealed that French-speaking users preferred more descriptive, reassuring language, while English speakers favored concise, action-oriented interfaces.</w:t>
      </w:r>
    </w:p>
    <w:bookmarkEnd w:id="22"/>
    <w:bookmarkStart w:id="23" w:name="user-journey-mapping"/>
    <w:p>
      <w:pPr>
        <w:pStyle w:val="Heading3"/>
      </w:pPr>
      <w:r>
        <w:t xml:space="preserve">User Journey Mapping</w:t>
      </w:r>
    </w:p>
    <w:p>
      <w:pPr>
        <w:pStyle w:val="FirstParagraph"/>
      </w:pPr>
      <w:r>
        <w:t xml:space="preserve">The designer mapped out the critical path for three primary user personas: the student paying tuition at a local university (e.g., UdeM or McGill), the small business owner in Old Montreal, and the retiree in Westmount. Each journey highlighted specific friction points related to language switching and document upload processes.</w:t>
      </w:r>
    </w:p>
    <w:bookmarkEnd w:id="23"/>
    <w:bookmarkEnd w:id="24"/>
    <w:bookmarkStart w:id="28" w:name="the-design-process-strategy"/>
    <w:p>
      <w:pPr>
        <w:pStyle w:val="Heading2"/>
      </w:pPr>
      <w:r>
        <w:t xml:space="preserve">3. The Design Process &amp; Strategy</w:t>
      </w:r>
    </w:p>
    <w:p>
      <w:pPr>
        <w:pStyle w:val="FirstParagraph"/>
      </w:pPr>
      <w:r>
        <w:t xml:space="preserve">&gt;</w:t>
      </w:r>
    </w:p>
    <w:bookmarkStart w:id="25" w:name="Xd927002d31ac40d342e6864d18c6334896b1562"/>
    <w:p>
      <w:pPr>
        <w:pStyle w:val="Heading3"/>
      </w:pPr>
      <w:r>
        <w:t xml:space="preserve">Phase 1: Information Architecture &amp; Localization&gt;</w:t>
      </w:r>
    </w:p>
    <w:p>
      <w:pPr>
        <w:pStyle w:val="FirstParagraph"/>
      </w:pPr>
      <w:r>
        <w:t xml:space="preserve">The structural overhaul began by decoupling content from design. This allowed for dynamic language toggling without breaking the layout. The designer implemented a "content-first" approach, ensuring that French translations were not mere afterthoughts but integral to the design system. In</w:t>
      </w:r>
      <w:r>
        <w:t xml:space="preserve"> </w:t>
      </w:r>
      <w:r>
        <w:rPr>
          <w:bCs/>
          <w:b/>
        </w:rPr>
        <w:t xml:space="preserve">Canada Montreal</w:t>
      </w:r>
      <w:r>
        <w:t xml:space="preserve">, where legal documents must be clear in both languages, this was paramount.&gt;</w:t>
      </w:r>
    </w:p>
    <w:bookmarkEnd w:id="25"/>
    <w:p>
      <w:pPr>
        <w:pStyle w:val="BodyText"/>
      </w:pPr>
      <w:r>
        <w:t xml:space="preserve">&gt;</w:t>
      </w:r>
    </w:p>
    <w:bookmarkStart w:id="26" w:name="phase-2-visual-identity-ui-components"/>
    <w:p>
      <w:pPr>
        <w:pStyle w:val="Heading3"/>
      </w:pPr>
      <w:r>
        <w:t xml:space="preserve">Phase 2: Visual Identity &amp; UI Components</w:t>
      </w:r>
    </w:p>
    <w:p>
      <w:pPr>
        <w:pStyle w:val="FirstParagraph"/>
      </w:pPr>
      <w:r>
        <w:t xml:space="preserve">&gt;</w:t>
      </w:r>
    </w:p>
    <w:p>
      <w:pPr>
        <w:pStyle w:val="BodyText"/>
      </w:pPr>
      <w:r>
        <w:t xml:space="preserve">The visual language adopted by the **UX UI Designer** focused on trust and clarity. The color palette was inspired by the local architecture of Montreal—using deep blues reminiscent of the night sky over Mount Royal and warm greys reflecting concrete structures. Typography was chosen for high legibility, supporting both Latin scripts extensively used in French and English.</w:t>
      </w:r>
    </w:p>
    <w:p>
      <w:pPr>
        <w:pStyle w:val="BodyText"/>
      </w:pPr>
      <w:r>
        <w:t xml:space="preserve">Key UI decisions included:</w:t>
      </w:r>
    </w:p>
    <w:p>
      <w:pPr>
        <w:pStyle w:val="BodyText"/>
      </w:pPr>
      <w:r>
        <w:t xml:space="preserve">&gt;</w:t>
      </w:r>
    </w:p>
    <w:p>
      <w:pPr>
        <w:numPr>
          <w:ilvl w:val="0"/>
          <w:numId w:val="1002"/>
        </w:numPr>
        <w:pStyle w:val="Compact"/>
      </w:pPr>
      <w:r>
        <w:rPr>
          <w:bCs/>
          <w:b/>
        </w:rPr>
        <w:t xml:space="preserve">Micro-Interactions: Subtle animations were introduced to confirm actions (e.g., successful transfers) in both languages, reducing uncertainty.&gt;</w:t>
      </w:r>
    </w:p>
    <w:p>
      <w:pPr>
        <w:numPr>
          <w:ilvl w:val="0"/>
          <w:numId w:val="1002"/>
        </w:numPr>
        <w:pStyle w:val="Compact"/>
      </w:pPr>
      <w:r>
        <w:rPr>
          <w:bCs/>
          <w:b/>
        </w:rPr>
        <w:t xml:space="preserve">Dual-Language Toggle: A prominent, accessible switch was placed in the header, allowing instant context switching without page reloads.&gt;</w:t>
      </w:r>
    </w:p>
    <w:p>
      <w:pPr>
        <w:numPr>
          <w:ilvl w:val="0"/>
          <w:numId w:val="1002"/>
        </w:numPr>
        <w:pStyle w:val="Compact"/>
      </w:pPr>
      <w:r>
        <w:t xml:space="preserve">Accessible Forms: Input fields were redesigned to provide clear error messages in the user’s selected language, adhering to WCAG standards critical for compliance in Canada.&gt;</w:t>
      </w:r>
    </w:p>
    <w:p>
      <w:pPr>
        <w:pStyle w:val="FirstParagraph"/>
      </w:pPr>
      <w:r>
        <w:t xml:space="preserve">&gt;</w:t>
      </w:r>
    </w:p>
    <w:bookmarkEnd w:id="26"/>
    <w:bookmarkStart w:id="27" w:name="phase-3-prototyping-usability-testing"/>
    <w:p>
      <w:pPr>
        <w:pStyle w:val="Heading3"/>
      </w:pPr>
      <w:r>
        <w:t xml:space="preserve">Phase 3: Prototyping &amp; Usability Testing&gt;</w:t>
      </w:r>
    </w:p>
    <w:p>
      <w:pPr>
        <w:pStyle w:val="FirstParagraph"/>
      </w:pPr>
      <w:r>
        <w:t xml:space="preserve">Interactive prototypes were tested with users from diverse neighborhoods in **Canada Montreal**. The feedback loop was rapid. For instance, initial tests showed that the "Transfer Money" button was too subtle for elderly users. The designer iterated quickly, increasing contrast and size based on this local feedback.</w:t>
      </w:r>
    </w:p>
    <w:bookmarkEnd w:id="27"/>
    <w:bookmarkEnd w:id="28"/>
    <w:bookmarkStart w:id="29" w:name="implementation-results"/>
    <w:p>
      <w:pPr>
        <w:pStyle w:val="Heading2"/>
      </w:pPr>
      <w:r>
        <w:t xml:space="preserve">4. Implementation &amp; Results</w:t>
      </w:r>
    </w:p>
    <w:p>
      <w:pPr>
        <w:pStyle w:val="FirstParagraph"/>
      </w:pPr>
      <w:r>
        <w:t xml:space="preserve">&gt;</w:t>
      </w:r>
    </w:p>
    <w:p>
      <w:pPr>
        <w:pStyle w:val="BodyText"/>
      </w:pPr>
      <w:r>
        <w:t xml:space="preserve">Post-launch metrics demonstrated significant improvements in user engagement and satisfaction:</w:t>
      </w:r>
    </w:p>
    <w:p>
      <w:pPr>
        <w:pStyle w:val="BodyText"/>
      </w:pPr>
      <w:r>
        <w:t xml:space="preserve">&gt;</w:t>
      </w:r>
    </w:p>
    <w:p>
      <w:pPr>
        <w:numPr>
          <w:ilvl w:val="0"/>
          <w:numId w:val="1003"/>
        </w:numPr>
        <w:pStyle w:val="Compact"/>
      </w:pPr>
      <w:r>
        <w:t xml:space="preserve">40% Reduction in Support Calls: Users reported fewer issues navigating the bilingual interface.&gt;</w:t>
      </w:r>
      <w:r>
        <w:t xml:space="preserve"> </w:t>
      </w:r>
    </w:p>
    <w:p>
      <w:pPr>
        <w:numPr>
          <w:ilvl w:val="0"/>
          <w:numId w:val="1003"/>
        </w:numPr>
        <w:pStyle w:val="Compact"/>
      </w:pPr>
      <w:r>
        <w:t xml:space="preserve">25% Increase in Mobile Engagement: The responsive design worked seamlessly on devices used by the younger demographic in **Canada Montreal**.&gt;</w:t>
      </w:r>
      <w:r>
        <w:t xml:space="preserve"> </w:t>
      </w:r>
    </w:p>
    <w:p>
      <w:pPr>
        <w:numPr>
          <w:ilvl w:val="0"/>
          <w:numId w:val="1003"/>
        </w:numPr>
        <w:pStyle w:val="Compact"/>
      </w:pPr>
      <w:r>
        <w:t xml:space="preserve">WCAG 2.1 AA Compliance Achieved: The site passed rigorous accessibility audits, mitigating legal risk.&gt;</w:t>
      </w:r>
      <w:r>
        <w:t xml:space="preserve"> </w:t>
      </w:r>
    </w:p>
    <w:p>
      <w:pPr>
        <w:numPr>
          <w:ilvl w:val="0"/>
          <w:numId w:val="1003"/>
        </w:numPr>
        <w:pStyle w:val="Compact"/>
      </w:pPr>
      <w:r>
        <w:t xml:space="preserve">Higher NPS Score: Net Promoter Scores increased by 15 points, particularly among French-speaking users who felt more understood and valued.&gt;</w:t>
      </w:r>
    </w:p>
    <w:p>
      <w:pPr>
        <w:pStyle w:val="FirstParagraph"/>
      </w:pPr>
      <w:r>
        <w:t xml:space="preserve">&gt;</w:t>
      </w:r>
    </w:p>
    <w:bookmarkEnd w:id="29"/>
    <w:bookmarkStart w:id="30" w:name="X43096869e987ba05b801a542984c8b69b38934e"/>
    <w:p>
      <w:pPr>
        <w:pStyle w:val="Heading2"/>
      </w:pPr>
      <w:r>
        <w:t xml:space="preserve">5. Key Learnings for Designers in Canada Montreal</w:t>
      </w:r>
    </w:p>
    <w:p>
      <w:pPr>
        <w:pStyle w:val="FirstParagraph"/>
      </w:pPr>
      <w:r>
        <w:t xml:space="preserve">&gt;</w:t>
      </w:r>
    </w:p>
    <w:p>
      <w:pPr>
        <w:pStyle w:val="BodyText"/>
      </w:pPr>
      <w:r>
        <w:t xml:space="preserve">This case study underscores several vital lessons for any **UX UI Designer** operating in the Canadian market, specifically within the vibrant ecosystem of **Canada Montreal**:</w:t>
      </w:r>
    </w:p>
    <w:p>
      <w:pPr>
        <w:pStyle w:val="BodyText"/>
      </w:pPr>
      <w:r>
        <w:t xml:space="preserve">&gt;</w:t>
      </w:r>
    </w:p>
    <w:p>
      <w:pPr>
        <w:numPr>
          <w:ilvl w:val="0"/>
          <w:numId w:val="1004"/>
        </w:numPr>
        <w:pStyle w:val="Compact"/>
      </w:pPr>
      <w:r>
        <w:rPr>
          <w:bCs/>
          <w:b/>
        </w:rPr>
        <w:t xml:space="preserve">Cultural Nuance is Data: Design decisions cannot be made solely on global trends. They must reflect local cultural values. In Montreal, respect for language duality is not just a legal requirement but a social expectation.&gt;</w:t>
      </w:r>
    </w:p>
    <w:p>
      <w:pPr>
        <w:numPr>
          <w:ilvl w:val="0"/>
          <w:numId w:val="1004"/>
        </w:numPr>
        <w:pStyle w:val="Compact"/>
      </w:pPr>
      <w:r>
        <w:rPr>
          <w:bCs/>
          <w:b/>
        </w:rPr>
        <w:t xml:space="preserve">Accessibility is Non-Negotiable: Canadian users have high expectations for digital accessibility. Ignoring this leads to exclusion and legal liability.&gt;</w:t>
      </w:r>
    </w:p>
    <w:p>
      <w:pPr>
        <w:numPr>
          <w:ilvl w:val="0"/>
          <w:numId w:val="1004"/>
        </w:numPr>
        <w:pStyle w:val="Compact"/>
      </w:pPr>
      <w:r>
        <w:t xml:space="preserve">Iterative Local Testing: General North American usability standards may not apply directly. Testing within specific boroughs of **Canada Montreal** revealed nuances that generic testing missed.&gt;</w:t>
      </w:r>
    </w:p>
    <w:p>
      <w:pPr>
        <w:pStyle w:val="FirstParagraph"/>
      </w:pPr>
      <w:r>
        <w:t xml:space="preserve">&gt;</w:t>
      </w:r>
    </w:p>
    <w:bookmarkEnd w:id="30"/>
    <w:bookmarkStart w:id="31" w:name="conclusion"/>
    <w:p>
      <w:pPr>
        <w:pStyle w:val="Heading2"/>
      </w:pPr>
      <w:r>
        <w:t xml:space="preserve">Conclusion</w:t>
      </w:r>
    </w:p>
    <w:p>
      <w:pPr>
        <w:pStyle w:val="FirstParagraph"/>
      </w:pPr>
      <w:r>
        <w:t xml:space="preserve">The redesign of FinCorp Quebec’s platform serves as a testament to the power of culturally sensitive design. By placing the unique needs of users in **Canada Montreal** at the forefront, the **UX UI Designer** transformed a stagnant digital product into an inclusive, efficient, and beloved service. This case study highlights that successful digital products are not just about code and pixels; they are about understanding people, their languages, and their environments. For designers aiming to excel in Canada’s major urban centers like Montreal, empathy for local context is the most critical tool in their arsenal.</w:t>
      </w:r>
    </w:p>
    <w:p>
      <w:pPr>
        <w:pStyle w:val="BodyText"/>
      </w:pPr>
      <w:r>
        <w:rPr>
          <w:iCs/>
          <w:i/>
        </w:rPr>
        <w:t xml:space="preserve">This case study demonstrates how a dedicated **UX UI Designer** can drive meaningful business outcomes while serving the specific demographic needs of **Canada Montreal**, proving that user-centric design is both a strategic asset and a social responsibility.</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for a Leading Financial Institution in Canada Montreal</dc:title>
  <dc:creator/>
  <dc:language>en</dc:language>
  <cp:keywords/>
  <dcterms:created xsi:type="dcterms:W3CDTF">2026-07-29T04:26:54Z</dcterms:created>
  <dcterms:modified xsi:type="dcterms:W3CDTF">2026-07-29T04:26:54Z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