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UX/UI</w:t>
      </w:r>
      <w:r>
        <w:t xml:space="preserve"> </w:t>
      </w:r>
      <w:r>
        <w:t xml:space="preserve">Design</w:t>
      </w:r>
      <w:r>
        <w:t xml:space="preserve"> </w:t>
      </w:r>
      <w:r>
        <w:t xml:space="preserve">Strategy</w:t>
      </w:r>
      <w:r>
        <w:t xml:space="preserve"> </w:t>
      </w:r>
      <w:r>
        <w:t xml:space="preserve">for</w:t>
      </w:r>
      <w:r>
        <w:t xml:space="preserve"> </w:t>
      </w:r>
      <w:r>
        <w:t xml:space="preserve">a</w:t>
      </w:r>
      <w:r>
        <w:t xml:space="preserve"> </w:t>
      </w:r>
      <w:r>
        <w:t xml:space="preserve">Fintech</w:t>
      </w:r>
      <w:r>
        <w:t xml:space="preserve"> </w:t>
      </w:r>
      <w:r>
        <w:t xml:space="preserve">Startup</w:t>
      </w:r>
      <w:r>
        <w:t xml:space="preserve"> </w:t>
      </w:r>
      <w:r>
        <w:t xml:space="preserve">in</w:t>
      </w:r>
      <w:r>
        <w:t xml:space="preserve"> </w:t>
      </w:r>
      <w:r>
        <w:t xml:space="preserve">Germany</w:t>
      </w:r>
      <w:r>
        <w:t xml:space="preserve"> </w:t>
      </w:r>
      <w:r>
        <w:t xml:space="preserve">Berlin</w:t>
      </w:r>
    </w:p>
    <w:bookmarkStart w:id="35" w:name="X256f9366817abb1f586bd244ae8faaee8d07d4b"/>
    <w:p>
      <w:pPr>
        <w:pStyle w:val="Heading1"/>
      </w:pPr>
      <w:r>
        <w:t xml:space="preserve">Bridging Trust and Technology: A UX/UI Case Study for a Fintech Platform in Germany Berlin</w:t>
      </w:r>
    </w:p>
    <w:p>
      <w:pPr>
        <w:pStyle w:val="FirstParagraph"/>
      </w:pPr>
      <w:r>
        <w:rPr>
          <w:iCs/>
          <w:i/>
          <w:bCs/>
          <w:b/>
        </w:rPr>
        <w:t xml:space="preserve">Note:</w:t>
      </w:r>
      <w:r>
        <w:t xml:space="preserve"> </w:t>
      </w:r>
      <w:r>
        <w:t xml:space="preserve">This document details the comprehensive user experience (UX) and user interface (UI) design process for "NeueCapital," a fictional digital investment platform launched in</w:t>
      </w:r>
      <w:r>
        <w:t xml:space="preserve"> </w:t>
      </w:r>
      <w:r>
        <w:rPr>
          <w:bCs/>
          <w:b/>
        </w:rPr>
        <w:t xml:space="preserve">Germany Berlin</w:t>
      </w:r>
      <w:r>
        <w:t xml:space="preserve">. The case study emphasizes how specific local requirements shaped the</w:t>
      </w:r>
      <w:r>
        <w:t xml:space="preserve"> </w:t>
      </w:r>
      <w:r>
        <w:rPr>
          <w:bCs/>
          <w:b/>
        </w:rPr>
        <w:t xml:space="preserve">UX/UI Designer</w:t>
      </w:r>
      <w:r>
        <w:t xml:space="preserve">'s approach, ensuring regulatory compliance, cultural relevance, and exceptional usability within the competitive European market.</w:t>
      </w:r>
    </w:p>
    <w:bookmarkStart w:id="20" w:name="executive-summary"/>
    <w:p>
      <w:pPr>
        <w:pStyle w:val="Heading2"/>
      </w:pPr>
      <w:r>
        <w:t xml:space="preserve">1. Executive Summary</w:t>
      </w:r>
    </w:p>
    <w:p>
      <w:pPr>
        <w:pStyle w:val="FirstParagraph"/>
      </w:pPr>
      <w:r>
        <w:t xml:space="preserve">In the rapidly evolving landscape of digital finance, establishing trust is paramount. This case study explores how a dedicated</w:t>
      </w:r>
      <w:r>
        <w:t xml:space="preserve"> </w:t>
      </w:r>
      <w:r>
        <w:rPr>
          <w:bCs/>
          <w:b/>
        </w:rPr>
        <w:t xml:space="preserve">UX/UI Designer</w:t>
      </w:r>
      <w:r>
        <w:t xml:space="preserve">, working on-site in</w:t>
      </w:r>
      <w:r>
        <w:t xml:space="preserve"> </w:t>
      </w:r>
      <w:r>
        <w:rPr>
          <w:bCs/>
          <w:b/>
        </w:rPr>
        <w:t xml:space="preserve">Germany Berlin</w:t>
      </w:r>
      <w:r>
        <w:t xml:space="preserve">, navigated the complex intersection of stringent European regulations (GDPR and BaFin standards), local user expectations for security, and modern aesthetic trends. The project aimed to redesign the core onboarding and portfolio management flows for a new fintech startup, resulting in a 40% increase in conversion rates during sign-up and a significant reduction in customer support tickets related to navigation.</w:t>
      </w:r>
    </w:p>
    <w:bookmarkEnd w:id="20"/>
    <w:bookmarkStart w:id="21" w:name="background-the-context-of-germany-berlin"/>
    <w:p>
      <w:pPr>
        <w:pStyle w:val="Heading2"/>
      </w:pPr>
      <w:r>
        <w:t xml:space="preserve">2. Background: The Context of Germany Berlin</w:t>
      </w:r>
    </w:p>
    <w:p>
      <w:pPr>
        <w:pStyle w:val="FirstParagraph"/>
      </w:pPr>
      <w:r>
        <w:t xml:space="preserve">The choice of</w:t>
      </w:r>
      <w:r>
        <w:t xml:space="preserve"> </w:t>
      </w:r>
      <w:r>
        <w:rPr>
          <w:bCs/>
          <w:b/>
        </w:rPr>
        <w:t xml:space="preserve">Germany Berlin</w:t>
      </w:r>
      <w:r>
        <w:t xml:space="preserve"> </w:t>
      </w:r>
      <w:r>
        <w:t xml:space="preserve">as the operational hub was strategic. As Europe’s leading startup hub, Berlin offers a unique blend of technological innovation and deep-rooted cultural values regarding data privacy and financial stability. Unlike markets in North America or Asia, where speed-to-market often prioritizes rapid iteration over regulatory adherence, the German market demands rigorous compliance from day one.</w:t>
      </w:r>
    </w:p>
    <w:p>
      <w:pPr>
        <w:pStyle w:val="BodyText"/>
      </w:pPr>
      <w:r>
        <w:t xml:space="preserve">The client, NeueCapital, sought to democratize access to sustainable investing. However, their initial prototype failed because it lacked the perceived authority and clarity required by German users. The primary challenge for our</w:t>
      </w:r>
      <w:r>
        <w:t xml:space="preserve"> </w:t>
      </w:r>
      <w:r>
        <w:rPr>
          <w:bCs/>
          <w:b/>
        </w:rPr>
        <w:t xml:space="preserve">UX/UI Designer</w:t>
      </w:r>
      <w:r>
        <w:t xml:space="preserve"> </w:t>
      </w:r>
      <w:r>
        <w:t xml:space="preserve">was not just visual appeal but engineering a sense of "Vertrauen" (trust) through digital interactions. Users in</w:t>
      </w:r>
      <w:r>
        <w:t xml:space="preserve"> </w:t>
      </w:r>
      <w:r>
        <w:rPr>
          <w:bCs/>
          <w:b/>
        </w:rPr>
        <w:t xml:space="preserve">Germany Berlin</w:t>
      </w:r>
      <w:r>
        <w:t xml:space="preserve"> </w:t>
      </w:r>
      <w:r>
        <w:t xml:space="preserve">are highly educated regarding digital rights; therefore, any ambiguity in data usage or investment risks leads to immediate abandonment.</w:t>
      </w:r>
    </w:p>
    <w:bookmarkEnd w:id="21"/>
    <w:bookmarkStart w:id="22" w:name="the-role-of-the-uxui-designer"/>
    <w:p>
      <w:pPr>
        <w:pStyle w:val="Heading2"/>
      </w:pPr>
      <w:r>
        <w:t xml:space="preserve">3. The Role of the UX/UI Designer</w:t>
      </w:r>
    </w:p>
    <w:p>
      <w:pPr>
        <w:pStyle w:val="FirstParagraph"/>
      </w:pPr>
      <w:r>
        <w:t xml:space="preserve">The</w:t>
      </w:r>
      <w:r>
        <w:t xml:space="preserve"> </w:t>
      </w:r>
      <w:r>
        <w:rPr>
          <w:bCs/>
          <w:b/>
        </w:rPr>
        <w:t xml:space="preserve">UX/UI Designer</w:t>
      </w:r>
      <w:r>
        <w:t xml:space="preserve">, embedded within a cross-functional team comprising developers, legal experts, and product managers in Berlin, played a pivotal role in translating complex financial jargon into intuitive interface elements. The designer’s responsibilities extended beyond screen design to encompass information architecture that mirrored the logical progression of German bureaucratic processes—clear, structured, and transparent.</w:t>
      </w:r>
    </w:p>
    <w:p>
      <w:pPr>
        <w:pStyle w:val="BodyText"/>
      </w:pPr>
      <w:r>
        <w:t xml:space="preserve">Key responsibilities included:</w:t>
      </w:r>
    </w:p>
    <w:p>
      <w:pPr>
        <w:numPr>
          <w:ilvl w:val="0"/>
          <w:numId w:val="1001"/>
        </w:numPr>
        <w:pStyle w:val="Compact"/>
      </w:pPr>
      <w:r>
        <w:rPr>
          <w:bCs/>
          <w:b/>
        </w:rPr>
        <w:t xml:space="preserve">User Research:</w:t>
      </w:r>
    </w:p>
    <w:p>
      <w:pPr>
        <w:numPr>
          <w:ilvl w:val="0"/>
          <w:numId w:val="1001"/>
        </w:numPr>
        <w:pStyle w:val="Compact"/>
      </w:pPr>
      <w:r>
        <w:rPr>
          <w:bCs/>
          <w:b/>
        </w:rPr>
        <w:t xml:space="preserve">Journey Mapping:</w:t>
      </w:r>
    </w:p>
    <w:p>
      <w:pPr>
        <w:numPr>
          <w:ilvl w:val="0"/>
          <w:numId w:val="1001"/>
        </w:numPr>
        <w:pStyle w:val="Compact"/>
      </w:pPr>
      <w:r>
        <w:rPr>
          <w:bCs/>
          <w:b/>
        </w:rPr>
        <w:t xml:space="preserve">Prototyping &amp; Testing:</w:t>
      </w:r>
    </w:p>
    <w:p>
      <w:pPr>
        <w:numPr>
          <w:ilvl w:val="0"/>
          <w:numId w:val="1001"/>
        </w:numPr>
        <w:pStyle w:val="Compact"/>
      </w:pPr>
      <w:r>
        <w:rPr>
          <w:bCs/>
          <w:b/>
        </w:rPr>
        <w:t xml:space="preserve">Cultural Adaptation:</w:t>
      </w:r>
    </w:p>
    <w:bookmarkEnd w:id="22"/>
    <w:bookmarkStart w:id="26" w:name="challenges-and-solutions"/>
    <w:p>
      <w:pPr>
        <w:pStyle w:val="Heading2"/>
      </w:pPr>
      <w:r>
        <w:t xml:space="preserve">4. Challenges and Solutions</w:t>
      </w:r>
    </w:p>
    <w:bookmarkStart w:id="23" w:name="X6d7f6fcb38fdfc5a6820a1a87dd5ec4d3dbf836"/>
    <w:p>
      <w:pPr>
        <w:pStyle w:val="Heading3"/>
      </w:pPr>
      <w:r>
        <w:t xml:space="preserve">A. Regulatory Compliance as a Design Constraint</w:t>
      </w:r>
    </w:p>
    <w:p>
      <w:pPr>
        <w:pStyle w:val="FirstParagraph"/>
      </w:pPr>
      <w:r>
        <w:t xml:space="preserve">In many global markets, privacy policies are often buried at the bottom of pages. In</w:t>
      </w:r>
      <w:r>
        <w:t xml:space="preserve"> </w:t>
      </w:r>
      <w:r>
        <w:rPr>
          <w:bCs/>
          <w:b/>
        </w:rPr>
        <w:t xml:space="preserve">Germany Berlin</w:t>
      </w:r>
      <w:r>
        <w:t xml:space="preserve">, however, users expect immediate transparency regarding data handling due to strict GDPR enforcement. The initial design placed risk disclosures in modals that required multiple clicks to close.</w:t>
      </w:r>
    </w:p>
    <w:p>
      <w:pPr>
        <w:pStyle w:val="BodyText"/>
      </w:pPr>
      <w:r>
        <w:rPr>
          <w:bCs/>
          <w:b/>
        </w:rPr>
        <w:t xml:space="preserve">Solution:</w:t>
      </w:r>
      <w:r>
        <w:t xml:space="preserve"> </w:t>
      </w:r>
      <w:r>
        <w:t xml:space="preserve">The</w:t>
      </w:r>
    </w:p>
    <w:p>
      <w:pPr>
        <w:pStyle w:val="BodyText"/>
      </w:pPr>
      <w:r>
        <w:t xml:space="preserve">UX/UI Designer restructured the onboarding flow using a "progressive disclosure" technique. Essential information was presented upfront in a clean, readable format with clear headings. Interactive tooltips were added to explain legal terms without cluttering the main interface. This approach respected the user’s intelligence while ensuring they felt in control of their data, aligning with local expectations.</w:t>
      </w:r>
    </w:p>
    <w:bookmarkEnd w:id="23"/>
    <w:bookmarkStart w:id="24" w:name="b.-accessibility-and-inclusivity"/>
    <w:p>
      <w:pPr>
        <w:pStyle w:val="Heading3"/>
      </w:pPr>
      <w:r>
        <w:t xml:space="preserve">B. Accessibility and Inclusivity</w:t>
      </w:r>
    </w:p>
    <w:p>
      <w:pPr>
        <w:pStyle w:val="FirstParagraph"/>
      </w:pPr>
      <w:r>
        <w:t xml:space="preserve">Berlin is a diverse city with users ranging from tech-savvy students to elderly retirees managing pensions online. The design needed to be accessible across all ability levels, adhering to WCAG 2.1 AA standards, which are increasingly enforced in the EU.</w:t>
      </w:r>
    </w:p>
    <w:p>
      <w:pPr>
        <w:pStyle w:val="BodyText"/>
      </w:pPr>
      <w:r>
        <w:rPr>
          <w:bCs/>
          <w:b/>
        </w:rPr>
        <w:t xml:space="preserve">Solution:</w:t>
      </w:r>
      <w:r>
        <w:t xml:space="preserve"> </w:t>
      </w:r>
      <w:r>
        <w:t xml:space="preserve">The UI design implemented high-contrast modes by default and ensured scalable typography. The</w:t>
      </w:r>
      <w:r>
        <w:t xml:space="preserve"> </w:t>
      </w:r>
      <w:r>
        <w:rPr>
          <w:bCs/>
          <w:b/>
        </w:rPr>
        <w:t xml:space="preserve">UX/UI Designer</w:t>
      </w:r>
      <w:r>
        <w:t xml:space="preserve"> </w:t>
      </w:r>
      <w:r>
        <w:t xml:space="preserve">conducted accessibility audits using screen readers to ensure that all interactive elements were keyboard-navigable. This was crucial for maintaining brand reputation in a market where social responsibility is highly valued.</w:t>
      </w:r>
    </w:p>
    <w:bookmarkEnd w:id="24"/>
    <w:bookmarkStart w:id="25" w:name="X235ad65ca05c7f57e0ed55a3ea02635d3048a50"/>
    <w:p>
      <w:pPr>
        <w:pStyle w:val="Heading3"/>
      </w:pPr>
      <w:r>
        <w:t xml:space="preserve">C. Building Trust Through Visual Language</w:t>
      </w:r>
    </w:p>
    <w:p>
      <w:pPr>
        <w:pStyle w:val="FirstParagraph"/>
      </w:pPr>
      <w:r>
        <w:t xml:space="preserve">Fintech apps in other regions often use playful animations and bright colors to reduce anxiety. However, testing in</w:t>
      </w:r>
      <w:r>
        <w:t xml:space="preserve"> </w:t>
      </w:r>
      <w:r>
        <w:rPr>
          <w:bCs/>
          <w:b/>
        </w:rPr>
        <w:t xml:space="preserve">Germany Berlin</w:t>
      </w:r>
      <w:r>
        <w:t xml:space="preserve"> </w:t>
      </w:r>
      <w:r>
        <w:t xml:space="preserve">revealed that users associated excessive animation with frivolity or potential scam risks. They preferred稳重 (steady/stable) visual cues.</w:t>
      </w:r>
    </w:p>
    <w:p>
      <w:pPr>
        <w:pStyle w:val="BodyText"/>
      </w:pPr>
      <w:r>
        <w:rPr>
          <w:bCs/>
          <w:b/>
        </w:rPr>
        <w:t xml:space="preserve">Solution:</w:t>
      </w:r>
      <w:r>
        <w:t xml:space="preserve"> </w:t>
      </w:r>
      <w:r>
        <w:t xml:space="preserve">The visual identity shifted towards a minimalist, Swiss-influence design style—clean lines, ample white space, and a conservative color palette featuring deep blues and grays. This aesthetic communicated stability and precision. Micro-interactions were subtle; for example, instead of bouncing icons upon click, buttons provided immediate color feedback to confirm action.</w:t>
      </w:r>
    </w:p>
    <w:bookmarkEnd w:id="25"/>
    <w:bookmarkEnd w:id="26"/>
    <w:bookmarkStart w:id="31" w:name="the-design-process"/>
    <w:p>
      <w:pPr>
        <w:pStyle w:val="Heading2"/>
      </w:pPr>
      <w:r>
        <w:t xml:space="preserve">5. The Design Process</w:t>
      </w:r>
    </w:p>
    <w:p>
      <w:pPr>
        <w:pStyle w:val="FirstParagraph"/>
      </w:pPr>
      <w:r>
        <w:t xml:space="preserve">The project followed an iterative design sprint model lasting twelve weeks.</w:t>
      </w:r>
    </w:p>
    <w:bookmarkStart w:id="27" w:name="sprint-1-discovery-research"/>
    <w:p>
      <w:pPr>
        <w:pStyle w:val="Heading3"/>
      </w:pPr>
      <w:r>
        <w:rPr>
          <w:bCs/>
          <w:b/>
        </w:rPr>
        <w:t xml:space="preserve">Sprint 1: Discovery &amp; Research</w:t>
      </w:r>
    </w:p>
    <w:p>
      <w:pPr>
        <w:pStyle w:val="FirstParagraph"/>
      </w:pPr>
      <w:r>
        <w:t xml:space="preserve">The team conducted contextual inquiries with users in local cafes and libraries in Berlin. Surveys highlighted that 65% of participants abandoned apps due to confusing terminology regarding "sustainability ratings." The</w:t>
      </w:r>
      <w:r>
        <w:t xml:space="preserve"> </w:t>
      </w:r>
      <w:r>
        <w:rPr>
          <w:bCs/>
          <w:b/>
        </w:rPr>
        <w:t xml:space="preserve">UX/UI Designer</w:t>
      </w:r>
      <w:r>
        <w:t xml:space="preserve"> </w:t>
      </w:r>
      <w:r>
        <w:t xml:space="preserve">created user personas representing the "Skeptical Saver" and the "Eco-Conscious Professional."</w:t>
      </w:r>
    </w:p>
    <w:bookmarkEnd w:id="27"/>
    <w:bookmarkStart w:id="28" w:name="sprint-2-information-architecture"/>
    <w:p>
      <w:pPr>
        <w:pStyle w:val="Heading3"/>
      </w:pPr>
      <w:r>
        <w:rPr>
          <w:bCs/>
          <w:b/>
        </w:rPr>
        <w:t xml:space="preserve">Sprint 2: Information Architecture</w:t>
      </w:r>
    </w:p>
    <w:p>
      <w:pPr>
        <w:pStyle w:val="FirstParagraph"/>
      </w:pPr>
      <w:r>
        <w:t xml:space="preserve">A card-sorting exercise helped restructure the navigation menu. Users expected financial terms to be grouped logically (e.g., Assets, Transactions, Settings). The hierarchy was simplified to three main tabs, reducing cognitive load.</w:t>
      </w:r>
    </w:p>
    <w:bookmarkEnd w:id="28"/>
    <w:bookmarkStart w:id="29" w:name="sprint-3-ui-design-prototyping"/>
    <w:p>
      <w:pPr>
        <w:pStyle w:val="Heading3"/>
      </w:pPr>
      <w:r>
        <w:rPr>
          <w:bCs/>
          <w:b/>
        </w:rPr>
        <w:t xml:space="preserve">Sprint 3: UI Design &amp; Prototyping</w:t>
      </w:r>
    </w:p>
    <w:p>
      <w:pPr>
        <w:pStyle w:val="FirstParagraph"/>
      </w:pPr>
      <w:r>
        <w:t xml:space="preserve">Figma was used to create high-fidelity mockups. Special attention was paid to the "Risk Disclosure" screens. The</w:t>
      </w:r>
      <w:r>
        <w:t xml:space="preserve"> </w:t>
      </w:r>
      <w:r>
        <w:rPr>
          <w:bCs/>
          <w:b/>
        </w:rPr>
        <w:t xml:space="preserve">UX/UI Designer</w:t>
      </w:r>
      <w:r>
        <w:t xml:space="preserve"> </w:t>
      </w:r>
      <w:r>
        <w:t xml:space="preserve">utilized data visualization techniques to show potential investment outcomes clearly, avoiding misleading graphs that exaggerated gains.</w:t>
      </w:r>
    </w:p>
    <w:bookmarkEnd w:id="29"/>
    <w:bookmarkStart w:id="30" w:name="sprint-4-usability-testing"/>
    <w:p>
      <w:pPr>
        <w:pStyle w:val="Heading3"/>
      </w:pPr>
      <w:r>
        <w:rPr>
          <w:bCs/>
          <w:b/>
        </w:rPr>
        <w:t xml:space="preserve">Sprint 4: Usability Testing</w:t>
      </w:r>
    </w:p>
    <w:p>
      <w:pPr>
        <w:pStyle w:val="FirstParagraph"/>
      </w:pPr>
      <w:r>
        <w:t xml:space="preserve">A/B testing was conducted on two different versions of the KYC verification screen. Version A used a traditional form layout, while Version B used a step-by-step wizard with progress indicators. The Berlin user group strongly preferred Version B, citing reduced anxiety and clearer expectations.</w:t>
      </w:r>
    </w:p>
    <w:bookmarkEnd w:id="30"/>
    <w:bookmarkEnd w:id="31"/>
    <w:bookmarkStart w:id="32" w:name="results-and-impact"/>
    <w:p>
      <w:pPr>
        <w:pStyle w:val="Heading2"/>
      </w:pPr>
      <w:r>
        <w:t xml:space="preserve">6. Results and Impact</w:t>
      </w:r>
    </w:p>
    <w:p>
      <w:pPr>
        <w:pStyle w:val="FirstParagraph"/>
      </w:pPr>
      <w:r>
        <w:t xml:space="preserve">Following the launch of the redesigned platform in</w:t>
      </w:r>
      <w:r>
        <w:t xml:space="preserve"> </w:t>
      </w:r>
      <w:r>
        <w:rPr>
          <w:bCs/>
          <w:b/>
        </w:rPr>
        <w:t xml:space="preserve">Germany Berlin</w:t>
      </w:r>
      <w:r>
        <w:t xml:space="preserve">, several key metrics improved significantly:</w:t>
      </w:r>
    </w:p>
    <w:p>
      <w:pPr>
        <w:numPr>
          <w:ilvl w:val="0"/>
          <w:numId w:val="1002"/>
        </w:numPr>
        <w:pStyle w:val="Compact"/>
      </w:pPr>
      <w:r>
        <w:rPr>
          <w:bCs/>
          <w:b/>
        </w:rPr>
        <w:t xml:space="preserve">User Retention:</w:t>
      </w:r>
      <w:r>
        <w:t xml:space="preserve">The 7-day retention rate increased by 25%, indicating that users found value and ease of use in the first week.</w:t>
      </w:r>
    </w:p>
    <w:p>
      <w:pPr>
        <w:numPr>
          <w:ilvl w:val="0"/>
          <w:numId w:val="1002"/>
        </w:numPr>
        <w:pStyle w:val="Compact"/>
      </w:pPr>
      <w:r>
        <w:rPr>
          <w:bCs/>
          <w:b/>
        </w:rPr>
        <w:t xml:space="preserve">Conversion Rate:</w:t>
      </w:r>
      <w:r>
        <w:t xml:space="preserve">The drop-off rate during the KYC process decreased by 40%. Users appreciated the clear instructions and transparent data usage policies.</w:t>
      </w:r>
    </w:p>
    <w:p>
      <w:pPr>
        <w:numPr>
          <w:ilvl w:val="0"/>
          <w:numId w:val="1002"/>
        </w:numPr>
        <w:pStyle w:val="Compact"/>
      </w:pPr>
      <w:r>
        <w:rPr>
          <w:bCs/>
          <w:b/>
        </w:rPr>
        <w:t xml:space="preserve">User Satisfaction Score (SUS):</w:t>
      </w:r>
      <w:r>
        <w:t xml:space="preserve">The System Usability Scale score rose from 62 (below average) to 85 (excellent), reflecting high user satisfaction with the interface's clarity and accessibility.</w:t>
      </w:r>
    </w:p>
    <w:p>
      <w:pPr>
        <w:numPr>
          <w:ilvl w:val="0"/>
          <w:numId w:val="1002"/>
        </w:numPr>
        <w:pStyle w:val="Compact"/>
      </w:pPr>
      <w:r>
        <w:rPr>
          <w:bCs/>
          <w:b/>
        </w:rPr>
        <w:t xml:space="preserve">Brand Perception:</w:t>
      </w:r>
      <w:r>
        <w:t xml:space="preserve">Feedback from Berlin-based users highlighted that the app felt "professional," "secure," and "respectful of their intelligence."</w:t>
      </w:r>
    </w:p>
    <w:bookmarkEnd w:id="32"/>
    <w:bookmarkStart w:id="33" w:name="X2e11b1764b9e047047d54e7f7281d706d8dbb6c"/>
    <w:p>
      <w:pPr>
        <w:pStyle w:val="Heading2"/>
      </w:pPr>
      <w:r>
        <w:t xml:space="preserve">7. Lessons Learned for UX/UI Designers in Germany Berlin</w:t>
      </w:r>
    </w:p>
    <w:p>
      <w:pPr>
        <w:pStyle w:val="FirstParagraph"/>
      </w:pPr>
      <w:r>
        <w:t xml:space="preserve">This case study underscores several critical lessons for any</w:t>
      </w:r>
      <w:r>
        <w:t xml:space="preserve"> </w:t>
      </w:r>
      <w:r>
        <w:rPr>
          <w:bCs/>
          <w:b/>
        </w:rPr>
        <w:t xml:space="preserve">UX/UI Designer</w:t>
      </w:r>
      <w:r>
        <w:t xml:space="preserve"> </w:t>
      </w:r>
      <w:r>
        <w:t xml:space="preserve">working in or targeting the</w:t>
      </w:r>
      <w:r>
        <w:t xml:space="preserve"> </w:t>
      </w:r>
      <w:r>
        <w:rPr>
          <w:bCs/>
          <w:b/>
        </w:rPr>
        <w:t xml:space="preserve">Germany Berlin</w:t>
      </w:r>
      <w:r>
        <w:t xml:space="preserve">-based market:</w:t>
      </w:r>
    </w:p>
    <w:p>
      <w:pPr>
        <w:numPr>
          <w:ilvl w:val="0"/>
          <w:numId w:val="1003"/>
        </w:numPr>
        <w:pStyle w:val="Compact"/>
      </w:pPr>
      <w:r>
        <w:rPr>
          <w:bCs/>
          <w:b/>
        </w:rPr>
        <w:t xml:space="preserve">Prioritize Privacy by Design:</w:t>
      </w:r>
      <w:r>
        <w:t xml:space="preserve">In Germany, privacy is not just a feature; it is a foundational element of trust. Interfaces must be explicit about data usage.</w:t>
      </w:r>
    </w:p>
    <w:p>
      <w:pPr>
        <w:numPr>
          <w:ilvl w:val="0"/>
          <w:numId w:val="1003"/>
        </w:numPr>
        <w:pStyle w:val="Compact"/>
      </w:pPr>
      <w:r>
        <w:rPr>
          <w:bCs/>
          <w:b/>
        </w:rPr>
        <w:t xml:space="preserve">Cultural Nuances Matter:</w:t>
      </w:r>
      <w:r>
        <w:t xml:space="preserve">While Berlin is cosmopolitan, the underlying cultural preference for structure and precision remains strong. Designs should avoid ambiguity.</w:t>
      </w:r>
    </w:p>
    <w:p>
      <w:pPr>
        <w:numPr>
          <w:ilvl w:val="0"/>
          <w:numId w:val="1003"/>
        </w:numPr>
        <w:pStyle w:val="Compact"/>
      </w:pPr>
      <w:r>
        <w:rPr>
          <w:bCs/>
          <w:b/>
        </w:rPr>
        <w:t xml:space="preserve">Rigorous Testing with Local Users:</w:t>
      </w:r>
      <w:r>
        <w:t xml:space="preserve">Global best practices do not always apply. User testing must be localized to capture specific regional pain points and expectations.</w:t>
      </w:r>
    </w:p>
    <w:p>
      <w:pPr>
        <w:numPr>
          <w:ilvl w:val="0"/>
          <w:numId w:val="1003"/>
        </w:numPr>
        <w:pStyle w:val="Compact"/>
      </w:pPr>
      <w:r>
        <w:rPr>
          <w:bCs/>
          <w:b/>
        </w:rPr>
        <w:t xml:space="preserve">Cross-Functional Collaboration:</w:t>
      </w:r>
      <w:r>
        <w:t xml:space="preserve">The most successful designs in this region result from close collaboration between designers, legal teams, and developers from the outset.</w:t>
      </w:r>
    </w:p>
    <w:bookmarkEnd w:id="33"/>
    <w:bookmarkStart w:id="34" w:name="conclusion"/>
    <w:p>
      <w:pPr>
        <w:pStyle w:val="Heading2"/>
      </w:pPr>
      <w:r>
        <w:t xml:space="preserve">8. Conclusion</w:t>
      </w:r>
    </w:p>
    <w:p>
      <w:pPr>
        <w:pStyle w:val="FirstParagraph"/>
      </w:pPr>
      <w:r>
        <w:t xml:space="preserve">The success of NeueCapital in</w:t>
      </w:r>
      <w:r>
        <w:t xml:space="preserve"> </w:t>
      </w:r>
      <w:r>
        <w:rPr>
          <w:bCs/>
          <w:b/>
        </w:rPr>
        <w:t xml:space="preserve">Germany Berlin</w:t>
      </w:r>
      <w:r>
        <w:t xml:space="preserve">-was not merely a result of innovative financial products but stemmed from a human-centered design approach led by a skilled</w:t>
      </w:r>
      <w:r>
        <w:t xml:space="preserve"> </w:t>
      </w:r>
      <w:r>
        <w:rPr>
          <w:bCs/>
          <w:b/>
        </w:rPr>
        <w:t xml:space="preserve">UX/UI Designer</w:t>
      </w:r>
      <w:r>
        <w:t xml:space="preserve">. By respecting local regulatory frameworks and cultural expectations, the design team created an experience that was not only functional but also trustworthy. For other companies entering the European market, this case study serves as a blueprint for how thoughtful UX/UI design can bridge the gap between technological capability and user trust in a demanding environment.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UX/UI Design Strategy for a Fintech Startup in Germany Berlin</dc:title>
  <dc:creator/>
  <dc:language>en</dc:language>
  <cp:keywords/>
  <dcterms:created xsi:type="dcterms:W3CDTF">2026-07-29T16:49:27Z</dcterms:created>
  <dcterms:modified xsi:type="dcterms:W3CDTF">2026-07-29T16:49:27Z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