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UX/UI</w:t>
      </w:r>
      <w:r>
        <w:t xml:space="preserve"> </w:t>
      </w:r>
      <w:r>
        <w:t xml:space="preserve">Designer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Navigating</w:t>
      </w:r>
      <w:r>
        <w:t xml:space="preserve"> </w:t>
      </w:r>
      <w:r>
        <w:t xml:space="preserve">the</w:t>
      </w:r>
      <w:r>
        <w:t xml:space="preserve"> </w:t>
      </w:r>
      <w:r>
        <w:t xml:space="preserve">Digital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20" w:name="Xb0f5e5e8f8f4c245035e5ac055513945c6775f4"/>
    <w:p>
      <w:pPr>
        <w:pStyle w:val="Heading1"/>
      </w:pPr>
      <w:r>
        <w:t xml:space="preserve">Case Study: Optimizing Fintech User Experience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UX/UI Designer Case Study: Navigating the Digital Landscape of Indonesia Jakarta</dc:title>
  <dc:creator/>
  <dc:language>en</dc:language>
  <cp:keywords/>
  <dcterms:created xsi:type="dcterms:W3CDTF">2026-07-29T08:36:18Z</dcterms:created>
  <dcterms:modified xsi:type="dcterms:W3CDTF">2026-07-29T08:36:18Z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