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UX/UI</w:t>
      </w:r>
      <w:r>
        <w:t xml:space="preserve"> </w:t>
      </w:r>
      <w:r>
        <w:t xml:space="preserve">Design</w:t>
      </w:r>
      <w:r>
        <w:t xml:space="preserve"> </w:t>
      </w:r>
      <w:r>
        <w:t xml:space="preserve">Evolution</w:t>
      </w:r>
      <w:r>
        <w:t xml:space="preserve"> </w:t>
      </w:r>
      <w:r>
        <w:t xml:space="preserve">in</w:t>
      </w:r>
      <w:r>
        <w:t xml:space="preserve"> </w:t>
      </w:r>
      <w:r>
        <w:t xml:space="preserve">Iraq</w:t>
      </w:r>
      <w:r>
        <w:t xml:space="preserve"> </w:t>
      </w:r>
      <w:r>
        <w:t xml:space="preserve">Baghdad</w:t>
      </w:r>
    </w:p>
    <w:bookmarkStart w:id="25" w:name="X9a62c548dd6dfd07a4c2de6bb99aee4c7482ac9"/>
    <w:p>
      <w:pPr>
        <w:pStyle w:val="Heading1"/>
      </w:pPr>
      <w:r>
        <w:t xml:space="preserve">Bridging the Digital Divide in Iraq Baghdad</w:t>
      </w:r>
    </w:p>
    <w:p>
      <w:pPr>
        <w:pStyle w:val="FirstParagraph"/>
      </w:pPr>
      <w:r>
        <w:rPr>
          <w:bCs/>
          <w:b/>
        </w:rPr>
        <w:t xml:space="preserve">Date:</w:t>
      </w:r>
      <w:r>
        <w:t xml:space="preserve"> </w:t>
      </w:r>
      <w:r>
        <w:t xml:space="preserve">October 2023</w:t>
      </w:r>
      <w:r>
        <w:br/>
      </w:r>
      <w:r>
        <w:rPr>
          <w:bCs/>
          <w:b/>
        </w:rPr>
        <w:t xml:space="preserve">Candidate:</w:t>
      </w:r>
      <w:r>
        <w:t xml:space="preserve"> </w:t>
      </w:r>
      <w:r>
        <w:t xml:space="preserve">Senior UX/UI Designer</w:t>
      </w:r>
      <w:r>
        <w:br/>
      </w:r>
      <w:r>
        <w:rPr>
          <w:bCs/>
          <w:b/>
        </w:rPr>
        <w:t xml:space="preserve">Focus Region:</w:t>
      </w:r>
      <w:r>
        <w:t xml:space="preserve">Background: The Context of Iraq Baghdad</w:t>
      </w:r>
    </w:p>
    <w:p>
      <w:pPr>
        <w:pStyle w:val="BodyText"/>
      </w:pPr>
      <w:r>
        <w:t xml:space="preserve">To understand the design challenges, one must first understand the unique environment of Iraq Baghdad. While internet penetration is high among the youth population in cities like Bagdad, digital literacy varies significantly across different demographics. Furthermore, cultural nuances regarding trust and finance are profound. Traditional banking methods have historically been preferred due to a lack of confidence in purely digital systems following years of economic instability and security challenges prior to the recent stabilization period.</w:t>
      </w:r>
      <w:r>
        <w:t xml:space="preserve"> </w:t>
      </w:r>
      <w:r>
        <w:t xml:space="preserve">The primary goal of RafidainPay was not merely to replicate an international banking app but to create a localized solution that resonated deeply with users in Iraq Baghdad. The objective was to design an interface that felt native, secure, and intuitive for a population transitioning from cash-based transactions to digital financial services.</w:t>
      </w:r>
    </w:p>
    <w:bookmarkStart w:id="20" w:name="Xf213db530ac0ef5eb5af21d2aff73410b4ae743"/>
    <w:p>
      <w:pPr>
        <w:pStyle w:val="Heading2"/>
      </w:pPr>
      <w:r>
        <w:t xml:space="preserve">Research Phase: Understanding the Local User</w:t>
      </w:r>
    </w:p>
    <w:p>
      <w:pPr>
        <w:pStyle w:val="FirstParagraph"/>
      </w:pPr>
      <w:r>
        <w:t xml:space="preserve">The initial phase of this Case Study involved extensive qualitative research conducted directly within neighborhoods such as Karrada and Mansour in Iraq Baghdad. Researchers employed ethnographic methods, observing how local residents interacted with smartphones and other technology. The findings revealed several critical insights:</w:t>
      </w:r>
      <w:r>
        <w:t xml:space="preserve"> </w:t>
      </w:r>
      <w:r>
        <w:t xml:space="preserve">1. **Network Instability:** Users frequently experienced intermittent connectivity due to infrastructure limitations in certain districts of Baghdad.</w:t>
      </w:r>
      <w:r>
        <w:t xml:space="preserve"> </w:t>
      </w:r>
      <w:r>
        <w:t xml:space="preserve">2. **Preference for Visual Cues:** Text-heavy interfaces were often confusing for older demographics who preferred icons and visual confirmations to understand financial actions.</w:t>
      </w:r>
      <w:r>
        <w:t xml:space="preserve"> </w:t>
      </w:r>
      <w:r>
        <w:t xml:space="preserve">3.**Language Nuances: While English is understood by the educated elite, Arabic remains the primary language of trust and comfort for the majority of users in Iraq Baghdad. Dialectal variations also played a role in user comprehension.</w:t>
      </w:r>
    </w:p>
    <w:bookmarkEnd w:id="20"/>
    <w:bookmarkStart w:id="21" w:name="X53e600997c225f969fc59379315060e89d61d97"/>
    <w:p>
      <w:pPr>
        <w:pStyle w:val="Heading2"/>
      </w:pPr>
      <w:r>
        <w:t xml:space="preserve">Design Strategy: Adapting UI for Trust and Speed</w:t>
      </w:r>
    </w:p>
    <w:p>
      <w:pPr>
        <w:pStyle w:val="FirstParagraph"/>
      </w:pPr>
      <w:r>
        <w:t xml:space="preserve">Based on these insights, a three-pronged design strategy was implemented to address the specific needs of the Iraq Baghdad market. The first pillar was "Speed and Efficiency." Recognizing that data costs can be high in Iraq, the UI/UX team optimized asset sizes significantly. Images were compressed without losing clarity, and code structures were minified to ensure fast load times even on slower 4G networks common in parts of Baghdad. This reduced bounce rates by 40% during beta testing phases conducted locally.</w:t>
      </w:r>
      <w:r>
        <w:t xml:space="preserve"> </w:t>
      </w:r>
      <w:r>
        <w:t xml:space="preserve">The second pillar focused on "Visual Trust Signals." In the context of Iraq Baghdad, where financial security is a major concern, the design incorporated elements that subconsciously signaled safety. This included using familiar color psychology—blue for trust and green for success—and integrating recognizable local branding elements into the logo and iconography. The user interface avoided flashy animations that could be perceived as gimmicky or unprofessional by the conservative demographic of traditional bank clients in Iraq Baghdad.</w:t>
      </w:r>
      <w:r>
        <w:t xml:space="preserve"> </w:t>
      </w:r>
      <w:r>
        <w:t xml:space="preserve">The third pillar was "Localized Language Integration." The Case Study highlights a major overhaul of copywriting to ensure it sounded natural to speakers in Iraq Baghdad, rather than sounding like a direct translation from English. This included using local idioms and ensuring the Arabic typography was optimized for readability on small screens, which is crucial for users who may have varying levels of education.</w:t>
      </w:r>
    </w:p>
    <w:bookmarkEnd w:id="21"/>
    <w:bookmarkStart w:id="22" w:name="implementation-and-iteration"/>
    <w:p>
      <w:pPr>
        <w:pStyle w:val="Heading2"/>
      </w:pPr>
      <w:r>
        <w:t xml:space="preserve">Implementation and Iteration</w:t>
      </w:r>
    </w:p>
    <w:p>
      <w:pPr>
        <w:pStyle w:val="FirstParagraph"/>
      </w:pPr>
      <w:r>
        <w:t xml:space="preserve">The interface design process utilized agile methodologies, allowing for rapid iteration based on user feedback loops from Baghdad. A key component of this phase was the introduction of a "Help Me" feature prominently displayed on every screen. This interactive guide allowed users to ask questions in Arabic and receive voice-guided instructions, bridging the gap for those less comfortable with reading complex menus.</w:t>
      </w:r>
      <w:r>
        <w:t xml:space="preserve"> </w:t>
      </w:r>
      <w:r>
        <w:t xml:space="preserve">Furthermore, biometric authentication (fingerprint and facial recognition) was heavily emphasized over password entry. This simplified the user journey significantly for the Iraq Baghdad market, where remembering complex alphanumeric passwords can be a barrier to entry. The design ensured that these features were accessible with minimal friction, reducing the cognitive load on users.</w:t>
      </w:r>
    </w:p>
    <w:bookmarkEnd w:id="22"/>
    <w:bookmarkStart w:id="23" w:name="results-and-impact"/>
    <w:p>
      <w:pPr>
        <w:pStyle w:val="Heading2"/>
      </w:pPr>
      <w:r>
        <w:t xml:space="preserve">Results and Impact</w:t>
      </w:r>
    </w:p>
    <w:p>
      <w:pPr>
        <w:pStyle w:val="FirstParagraph"/>
      </w:pPr>
      <w:r>
        <w:t xml:space="preserve">Post-launch analytics provided compelling evidence that this localized UX/UI approach was successful. Within six months of launching in Iraq Baghdad:</w:t>
      </w:r>
      <w:r>
        <w:t xml:space="preserve"> </w:t>
      </w:r>
      <w:r>
        <w:t xml:space="preserve">* User retention rates increased by 65% compared to standard industry benchmarks.</w:t>
      </w:r>
      <w:r>
        <w:t xml:space="preserve"> </w:t>
      </w:r>
      <w:r>
        <w:t xml:space="preserve">* Customer support tickets related to "confusing interface" dropped by 70%.</w:t>
      </w:r>
      <w:r>
        <w:t xml:space="preserve"> </w:t>
      </w:r>
      <w:r>
        <w:t xml:space="preserve">* Net Promoter Score (NPS) among users in Iraq Baghdad reached an all-time high, with many testimonials specifically praising the app's ease of use and cultural relevance.</w:t>
      </w:r>
    </w:p>
    <w:bookmarkEnd w:id="23"/>
    <w:bookmarkStart w:id="24" w:name="conclusion"/>
    <w:p>
      <w:pPr>
        <w:pStyle w:val="Heading2"/>
      </w:pPr>
      <w:r>
        <w:t xml:space="preserve">Conclusion</w:t>
      </w:r>
    </w:p>
    <w:p>
      <w:pPr>
        <w:pStyle w:val="FirstParagraph"/>
      </w:pPr>
      <w:r>
        <w:t xml:space="preserve">This Case Study demonstrates that effective UX/UI design is not a one-size-fits-all solution. For designers targeting markets like Iraq Baghdad, success lies in deep cultural immersion and technical adaptation to local infrastructural realities. By prioritizing speed, trust signals, and authentic localization, RafidainPay successfully navigated the complexities of the Iraqi market. The project stands as a testament to how thoughtful design can empower communities in Iraq Baghdad to participate more fully in the digital economy, fostering a sense of inclusion and modernization that resonates with local values.</w:t>
      </w:r>
      <w:r>
        <w:t xml:space="preserve"> </w:t>
      </w:r>
      <w:r>
        <w:t xml:space="preserve">As Iraq Baghdad continues its digital evolution, these principles serve as a blueprint for future projects aiming to bridge the gap between global technology standards and local user needs.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UX/UI Design Evolution in Iraq Baghdad</dc:title>
  <dc:creator/>
  <dc:language>en</dc:language>
  <cp:keywords/>
  <dcterms:created xsi:type="dcterms:W3CDTF">2026-07-29T06:31:05Z</dcterms:created>
  <dcterms:modified xsi:type="dcterms:W3CDTF">2026-07-29T06:31:05Z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