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Digital</w:t>
      </w:r>
      <w:r>
        <w:t xml:space="preserve"> </w:t>
      </w:r>
      <w:r>
        <w:t xml:space="preserve">Accessibility</w:t>
      </w:r>
      <w:r>
        <w:t xml:space="preserve"> </w:t>
      </w:r>
      <w:r>
        <w:t xml:space="preserve">in</w:t>
      </w:r>
      <w:r>
        <w:t xml:space="preserve"> </w:t>
      </w:r>
      <w:r>
        <w:t xml:space="preserve">Turkey</w:t>
      </w:r>
      <w:r>
        <w:t xml:space="preserve"> </w:t>
      </w:r>
      <w:r>
        <w:t xml:space="preserve">Ankara</w:t>
      </w:r>
    </w:p>
    <w:bookmarkStart w:id="26" w:name="X7b16ad41899da849488d6755b2706f20f89369b"/>
    <w:p>
      <w:pPr>
        <w:pStyle w:val="Heading1"/>
      </w:pPr>
      <w:r>
        <w:t xml:space="preserve">Case Study: Redefining Urban Mobility through UX/UI Design in Turkey Ankara</w:t>
      </w:r>
    </w:p>
    <w:p>
      <w:pPr>
        <w:pStyle w:val="FirstParagraph"/>
      </w:pPr>
      <w:r>
        <w:rPr>
          <w:bCs/>
          <w:b/>
        </w:rPr>
        <w:t xml:space="preserve">Date:</w:t>
      </w:r>
      <w:r>
        <w:t xml:space="preserve"> </w:t>
      </w:r>
      <w:r>
        <w:t xml:space="preserve">October 2023</w:t>
      </w:r>
      <w:r>
        <w:br/>
      </w:r>
      <w:r>
        <w:rPr>
          <w:bCs/>
          <w:b/>
        </w:rPr>
        <w:t xml:space="preserve">Locus:</w:t>
      </w:r>
      <w:r>
        <w:t xml:space="preserve">Ankara,Turkey</w:t>
      </w:r>
      <w:r>
        <w:br/>
      </w:r>
    </w:p>
    <w:p>
      <w:pPr>
        <w:pStyle w:val="BodyText"/>
      </w:pPr>
      <w:r>
        <w:t xml:space="preserve">Rolle :Senior UX/UI Designer Lead</w:t>
      </w:r>
    </w:p>
    <w:bookmarkStart w:id="20" w:name="executive-summary"/>
    <w:p>
      <w:pPr>
        <w:pStyle w:val="Heading2"/>
      </w:pPr>
      <w:r>
        <w:t xml:space="preserve">1. Executive Summary</w:t>
      </w:r>
    </w:p>
    <w:p>
      <w:pPr>
        <w:pStyle w:val="FirstParagraph"/>
      </w:pPr>
      <w:r>
        <w:t xml:space="preserve">In the rapidly evolving landscape of smart cities,</w:t>
      </w:r>
      <w:r>
        <w:t xml:space="preserve"> </w:t>
      </w:r>
      <w:r>
        <w:rPr>
          <w:bCs/>
          <w:b/>
        </w:rPr>
        <w:t xml:space="preserve">Turkey Ankara</w:t>
      </w:r>
      <w:r>
        <w:t xml:space="preserve">, the capital city, stands as a critical hub for technological innovation and urban development. However, like many historic capitals undergoing modernization, Ankara faces unique challenges regarding public transportation accessibility and digital inclusion. This case study explores how a dedicated team of</w:t>
      </w:r>
      <w:r>
        <w:t xml:space="preserve"> </w:t>
      </w:r>
      <w:r>
        <w:rPr>
          <w:bCs/>
          <w:b/>
        </w:rPr>
        <w:t xml:space="preserve">UX UI Designer</w:t>
      </w:r>
      <w:r>
        <w:t xml:space="preserve"> </w:t>
      </w:r>
      <w:r>
        <w:t xml:space="preserve">professionals collaborated with municipal stakeholders to revitalize the digital experience of "AnkaraGo," a comprehensive mobile application designed for city commuters.</w:t>
      </w:r>
    </w:p>
    <w:p>
      <w:pPr>
        <w:pStyle w:val="BodyText"/>
      </w:pPr>
      <w:r>
        <w:t xml:space="preserve">The primary objective was not merely to create an aesthetically pleasing interface but to engineer a solution that addressed the specific behavioral patterns, accessibility needs, and cultural context of Ankara’s diverse population. By focusing on human-centered design principles, we aimed to bridge the gap between complex municipal data and everyday user needs.</w:t>
      </w:r>
    </w:p>
    <w:bookmarkEnd w:id="20"/>
    <w:bookmarkStart w:id="21" w:name="X9bd1f2a29e9ea7e214590cda70056b6ef9b387d"/>
    <w:p>
      <w:pPr>
        <w:pStyle w:val="Heading2"/>
      </w:pPr>
      <w:r>
        <w:t xml:space="preserve">2. The Challenge: Contextual Barriers in Ankara</w:t>
      </w:r>
    </w:p>
    <w:p>
      <w:pPr>
        <w:pStyle w:val="FirstParagraph"/>
      </w:pPr>
      <w:r>
        <w:t xml:space="preserve">Ankara is a city characterized by its distinct geographical layout, featuring significant elevation changes and a sprawling metropolitan area. The existing digital infrastructure for public transport was fragmented, with separate platforms for the metro, buses (EGO), and light rail systems. For the average citizen in Turkey Ankara , navigating this system required multiple apps or physical maps,</w:t>
      </w:r>
    </w:p>
    <w:p>
      <w:pPr>
        <w:pStyle w:val="BodyText"/>
      </w:pPr>
      <w:r>
        <w:rPr>
          <w:bCs/>
          <w:b/>
        </w:rPr>
        <w:t xml:space="preserve">Key Pain Points Identified:</w:t>
      </w:r>
    </w:p>
    <w:p>
      <w:pPr>
        <w:numPr>
          <w:ilvl w:val="0"/>
          <w:numId w:val="1001"/>
        </w:numPr>
        <w:pStyle w:val="Compact"/>
      </w:pPr>
      <w:r>
        <w:rPr>
          <w:bCs/>
          <w:b/>
        </w:rPr>
        <w:t xml:space="preserve">Siloed Information:</w:t>
      </w:r>
    </w:p>
    <w:p>
      <w:pPr>
        <w:numPr>
          <w:ilvl w:val="0"/>
          <w:numId w:val="1001"/>
        </w:numPr>
        <w:pStyle w:val="Compact"/>
      </w:pPr>
      <w:r>
        <w:rPr>
          <w:bCs/>
          <w:b/>
        </w:rPr>
        <w:t xml:space="preserve">Digital Literacy Gaps:</w:t>
      </w:r>
    </w:p>
    <w:p>
      <w:pPr>
        <w:numPr>
          <w:ilvl w:val="0"/>
          <w:numId w:val="1001"/>
        </w:numPr>
        <w:pStyle w:val="Compact"/>
      </w:pPr>
      <w:r>
        <w:rPr>
          <w:bCs/>
          <w:b/>
        </w:rPr>
        <w:t xml:space="preserve">Cultural Nuances:</w:t>
      </w:r>
    </w:p>
    <w:p>
      <w:pPr>
        <w:pStyle w:val="FirstParagraph"/>
      </w:pPr>
      <w:r>
        <w:t xml:space="preserve">The core challenge for our</w:t>
      </w:r>
      <w:r>
        <w:t xml:space="preserve"> </w:t>
      </w:r>
      <w:r>
        <w:rPr>
          <w:bCs/>
          <w:b/>
        </w:rPr>
        <w:t xml:space="preserve">UX UI Designer</w:t>
      </w:r>
      <w:r>
        <w:t xml:space="preserve"> </w:t>
      </w:r>
      <w:r>
        <w:t xml:space="preserve">team was to unify these disparate systems into a single, cohesive digital product that respected the heritage of Ankara while pushing the boundaries of modern usability.</w:t>
      </w:r>
    </w:p>
    <w:p>
      <w:pPr>
        <w:pStyle w:val="BodyText"/>
      </w:pPr>
      <w:r>
        <w:t xml:space="preserve">To ensure our design decisions were grounded in reality, we conducted extensive field research across key districts in Turkey Ankara , including Çankaya, Keçiören, and Altındağ. Our methodology included:</w:t>
      </w:r>
    </w:p>
    <w:p>
      <w:pPr>
        <w:numPr>
          <w:ilvl w:val="0"/>
          <w:numId w:val="1002"/>
        </w:numPr>
        <w:pStyle w:val="Compact"/>
      </w:pPr>
      <w:r>
        <w:rPr>
          <w:bCs/>
          <w:b/>
        </w:rPr>
        <w:t xml:space="preserve">Ethnographic Interviews:</w:t>
      </w:r>
    </w:p>
    <w:p>
      <w:pPr>
        <w:numPr>
          <w:ilvl w:val="0"/>
          <w:numId w:val="1002"/>
        </w:numPr>
        <w:pStyle w:val="Compact"/>
      </w:pPr>
      <w:r>
        <w:rPr>
          <w:bCs/>
          <w:b/>
        </w:rPr>
        <w:t xml:space="preserve">Observational Studies:</w:t>
      </w:r>
    </w:p>
    <w:p>
      <w:pPr>
        <w:numPr>
          <w:ilvl w:val="0"/>
          <w:numId w:val="1002"/>
        </w:numPr>
        <w:pStyle w:val="Compact"/>
      </w:pPr>
      <w:r>
        <w:t xml:space="preserve">Social Listening:</w:t>
      </w:r>
    </w:p>
    <w:p>
      <w:pPr>
        <w:pStyle w:val="FirstParagraph"/>
      </w:pPr>
      <w:r>
        <w:t xml:space="preserve">This research revealed that Ankara’s citizens valued efficiency but also appreciated clear, visual cues. Furthermore, the multilingual nature of the city (with many domestic migrants and expatriates) necessitated a highly adaptable interface.</w:t>
      </w:r>
    </w:p>
    <w:bookmarkEnd w:id="21"/>
    <w:bookmarkStart w:id="25" w:name="X234fb6a96f5f17042bf47ee128b9ef17af1e618"/>
    <w:p>
      <w:pPr>
        <w:pStyle w:val="Heading2"/>
      </w:pPr>
      <w:r>
        <w:t xml:space="preserve">4. Design Strategy: The Role of the UX/UI Designer</w:t>
      </w:r>
    </w:p>
    <w:p>
      <w:pPr>
        <w:pStyle w:val="FirstParagraph"/>
      </w:pPr>
      <w:r>
        <w:t xml:space="preserve">The</w:t>
      </w:r>
      <w:r>
        <w:t xml:space="preserve"> </w:t>
      </w:r>
      <w:r>
        <w:rPr>
          <w:bCs/>
          <w:b/>
        </w:rPr>
        <w:t xml:space="preserve">UX UI Designer</w:t>
      </w:r>
    </w:p>
    <w:bookmarkStart w:id="22" w:name="information-architecture-ia"/>
    <w:p>
      <w:pPr>
        <w:pStyle w:val="Heading3"/>
      </w:pPr>
      <w:r>
        <w:t xml:space="preserve">4.1 Information Architecture (IA)</w:t>
      </w:r>
    </w:p>
    <w:p>
      <w:pPr>
        <w:pStyle w:val="FirstParagraph"/>
      </w:pPr>
      <w:r>
        <w:t xml:space="preserve">We restructured the information hierarchy to prioritize "Trip Planning" as the primary action. The new IA reduced cognitive load by grouping related functions (payments, schedules, and alerts) into intuitive bottom navigation bars familiar to users of major global applications.</w:t>
      </w:r>
    </w:p>
    <w:bookmarkEnd w:id="22"/>
    <w:bookmarkStart w:id="23" w:name="visual-identity-and-ui"/>
    <w:p>
      <w:pPr>
        <w:pStyle w:val="Heading3"/>
      </w:pPr>
      <w:r>
        <w:t xml:space="preserve">4.2 Visual Identity and UI</w:t>
      </w:r>
    </w:p>
    <w:p>
      <w:pPr>
        <w:pStyle w:val="FirstParagraph"/>
      </w:pPr>
      <w:r>
        <w:t xml:space="preserve">The visual language was crafted to reflect the modern yet historical essence of Ankara. We utilized a color palette inspired by the local landscape—terracotta reds and earthy greens—combined with high-contrast typography to ensure readability for users with visual impairments. The</w:t>
      </w:r>
      <w:r>
        <w:t xml:space="preserve"> </w:t>
      </w:r>
      <w:r>
        <w:rPr>
          <w:bCs/>
          <w:b/>
        </w:rPr>
        <w:t xml:space="preserve">UX UI Designer</w:t>
      </w:r>
      <w:r>
        <w:t xml:space="preserve"> </w:t>
      </w:r>
      <w:r>
        <w:t xml:space="preserve">team focused heavily on accessibility standards (WCAG 2.1 AA), ensuring that buttons were large enough for easy tapping on crowded buses.</w:t>
      </w:r>
    </w:p>
    <w:bookmarkEnd w:id="23"/>
    <w:bookmarkStart w:id="24" w:name="interaction-design"/>
    <w:p>
      <w:pPr>
        <w:pStyle w:val="Heading3"/>
      </w:pPr>
      <w:r>
        <w:t xml:space="preserve">4.3 Interaction Design</w:t>
      </w:r>
    </w:p>
    <w:p>
      <w:pPr>
        <w:pStyle w:val="FirstParagraph"/>
      </w:pPr>
      <w:r>
        <w:t xml:space="preserve">Micro-interactions were designed to provide immediate feedback, such as a subtle vibration when a ticket is successfully purchased via NFC. This tactile confirmation was crucial for users in noisy metro stations where auditory notifications might be missed.</w:t>
      </w:r>
    </w:p>
    <w:p>
      <w:pPr>
        <w:pStyle w:val="BodyText"/>
      </w:pPr>
      <w:r>
        <w:t xml:space="preserve">A critical aspect of this case study was the localization strategy tailored specifically for</w:t>
      </w:r>
      <w:r>
        <w:t xml:space="preserve"> </w:t>
      </w:r>
      <w:r>
        <w:rPr>
          <w:bCs/>
          <w:b/>
        </w:rPr>
        <w:t xml:space="preserve">Turkey Ankara</w:t>
      </w:r>
      <w:r>
        <w:t xml:space="preserve">. While the app supported English and Arabic, the primary interface was optimized for Turkish dialects specific to Central Anatolia. Furthermore, we integrated local cultural events and holiday schedules into the notification system, reminding users of service changes during Ramadan or national holidays.</w:t>
      </w:r>
    </w:p>
    <w:p>
      <w:pPr>
        <w:pStyle w:val="BodyText"/>
      </w:pPr>
      <w:r>
        <w:t xml:space="preserve">The development team worked closely with our</w:t>
      </w:r>
      <w:r>
        <w:t xml:space="preserve"> </w:t>
      </w:r>
      <w:r>
        <w:rPr>
          <w:bCs/>
          <w:b/>
        </w:rPr>
        <w:t xml:space="preserve">UX UI Designer</w:t>
      </w:r>
      <w:r>
        <w:t xml:space="preserve">s to ensure that animations were lightweight enough to run smoothly on older Android devices, which are prevalent in lower-income demographics within Ankara. This technical constraint drove us toward minimalist UI elements that did not compromise performance.</w:t>
      </w:r>
    </w:p>
    <w:p>
      <w:pPr>
        <w:pStyle w:val="BodyText"/>
      </w:pPr>
      <w:r>
        <w:t xml:space="preserve">Post-launch analytics over a six-month period demonstrated significant improvements:</w:t>
      </w:r>
    </w:p>
    <w:p>
      <w:pPr>
        <w:numPr>
          <w:ilvl w:val="0"/>
          <w:numId w:val="1003"/>
        </w:numPr>
        <w:pStyle w:val="Compact"/>
      </w:pPr>
      <w:r>
        <w:rPr>
          <w:bCs/>
          <w:b/>
        </w:rPr>
        <w:t xml:space="preserve">User Retention:</w:t>
      </w:r>
      <w:r>
        <w:t xml:space="preserve">A 45% increase in daily active users compared to the previous fragmented apps.</w:t>
      </w:r>
    </w:p>
    <w:p>
      <w:pPr>
        <w:numPr>
          <w:ilvl w:val="0"/>
          <w:numId w:val="1003"/>
        </w:numPr>
        <w:pStyle w:val="Compact"/>
      </w:pPr>
      <w:r>
        <w:t xml:space="preserve">Satisfaction Score:The Net Promoter Score (NPS) rose from 12 to 68, indicating strong user advocacy.</w:t>
      </w:r>
    </w:p>
    <w:p>
      <w:pPr>
        <w:numPr>
          <w:ilvl w:val="0"/>
          <w:numId w:val="1003"/>
        </w:numPr>
        <w:pStyle w:val="Compact"/>
      </w:pPr>
      <w:r>
        <w:t xml:space="preserve">Inclusivity: A 30% increase in usage among users aged 60+, thanks to the accessibility-focused UI adjustments.</w:t>
      </w:r>
    </w:p>
    <w:p>
      <w:pPr>
        <w:pStyle w:val="FirstParagraph"/>
      </w:pPr>
      <w:r>
        <w:t xml:space="preserve">The project proved that when</w:t>
      </w:r>
      <w:r>
        <w:t xml:space="preserve"> </w:t>
      </w:r>
      <w:r>
        <w:rPr>
          <w:bCs/>
          <w:b/>
        </w:rPr>
        <w:t xml:space="preserve">UX UI Designer</w:t>
      </w:r>
      <w:r>
        <w:t xml:space="preserve"> </w:t>
      </w:r>
      <w:r>
        <w:t xml:space="preserve">expertise is applied with deep cultural sensitivity, digital tools can significantly enhance civic engagement. The AnkaraGo app is now considered a benchmark for smart city initiatives in the region.</w:t>
      </w:r>
    </w:p>
    <w:p>
      <w:pPr>
        <w:pStyle w:val="BodyText"/>
      </w:pPr>
      <w:r>
        <w:t xml:space="preserve">This case study underscores the vital importance of context-aware design in urban environments. For any organization operating in</w:t>
      </w:r>
      <w:r>
        <w:t xml:space="preserve"> </w:t>
      </w:r>
      <w:r>
        <w:rPr>
          <w:bCs/>
          <w:b/>
        </w:rPr>
        <w:t xml:space="preserve">Turkey Ankara</w:t>
      </w:r>
      <w:r>
        <w:t xml:space="preserve">, understanding the local user is not optional; it is essential for success. The collaboration between municipal planners and skilled</w:t>
      </w:r>
      <w:r>
        <w:t xml:space="preserve"> </w:t>
      </w:r>
      <w:r>
        <w:rPr>
          <w:bCs/>
          <w:b/>
        </w:rPr>
        <w:t xml:space="preserve">UX UI Designer</w:t>
      </w:r>
      <w:r>
        <w:t xml:space="preserve">s has set a new standard for digital public services, demonstrating that technology can be both powerful and deeply human.</w:t>
      </w:r>
    </w:p>
    <w:p>
      <w:pPr>
        <w:pStyle w:val="BodyText"/>
      </w:pPr>
      <w:r>
        <w:t xml:space="preserve">© 2023 UX Design Institute. All rights reserved. This document is intended for educational purposes regarding UX/UI best practices in emerging markets.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Digital Accessibility in Turkey Ankara</dc:title>
  <dc:creator/>
  <dc:language>en</dc:language>
  <cp:keywords/>
  <dcterms:created xsi:type="dcterms:W3CDTF">2026-07-29T04:04:21Z</dcterms:created>
  <dcterms:modified xsi:type="dcterms:W3CDTF">2026-07-29T04:04:21Z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