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2ef733e80a329c42b6420031fe902d1bc3756fa"/>
    <w:p>
      <w:pPr>
        <w:pStyle w:val="Heading1"/>
      </w:pPr>
      <w:r>
        <w:t xml:space="preserve">Bridging the Digital Divide in the Midlands: A Case Study on the Impact of a Senior UX UI Designer in United Kingdom Birmingham</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Enhancing Public Service Accessibility through Strategic Design</w:t>
      </w:r>
      <w:r>
        <w:br/>
      </w:r>
      <w:r>
        <w:rPr>
          <w:bCs/>
          <w:b/>
        </w:rPr>
        <w:t xml:space="preserve">Location Focus:</w:t>
      </w:r>
      <w:hyperlink w:anchor="Xa39a3ee5e6b4b0d3255bfef95601890afd80709">
        <w:r>
          <w:rPr>
            <w:rStyle w:val="Hyperlink"/>
          </w:rPr>
          <w:t xml:space="preserve">United Kingdom Birmingham</w:t>
        </w:r>
      </w:hyperlink>
    </w:p>
    <w:bookmarkStart w:id="20" w:name="executive-summary"/>
    <w:p>
      <w:pPr>
        <w:pStyle w:val="Heading2"/>
      </w:pPr>
      <w:r>
        <w:t xml:space="preserve">1. Executive Summary</w:t>
      </w:r>
    </w:p>
    <w:p>
      <w:pPr>
        <w:pStyle w:val="FirstParagraph"/>
      </w:pPr>
      <w:r>
        <w:t xml:space="preserve">In the rapidly evolving landscape of digital public services, accessibility and user-centric design are no longer optional extras but fundamental requirements. This Case Study explores how a dedicated UX UI Designer transformed the digital experience for a mid-sized financial technology startup based in United Kingdom Birmingham. By focusing on inclusive design principles and rigorous user testing, this initiative not only improved key performance indicators (KPIs) but also reinforced the brand's commitment to serving the diverse demographic fabric of Birmingham.</w:t>
      </w:r>
    </w:p>
    <w:bookmarkEnd w:id="20"/>
    <w:bookmarkStart w:id="21" w:name="background-and-context"/>
    <w:p>
      <w:pPr>
        <w:pStyle w:val="Heading2"/>
      </w:pPr>
      <w:r>
        <w:t xml:space="preserve">2. Background and Context</w:t>
      </w:r>
    </w:p>
    <w:p>
      <w:pPr>
        <w:pStyle w:val="FirstParagraph"/>
      </w:pPr>
      <w:r>
        <w:rPr>
          <w:bCs/>
          <w:b/>
        </w:rPr>
        <w:t xml:space="preserve">The Company:</w:t>
      </w:r>
      <w:r>
        <w:br/>
      </w:r>
      <w:r>
        <w:t xml:space="preserve">FinBridge is a growing fintech company headquartered in United Kingdom Birmingham, specializing in micro-loans for small businesses and gig economy workers. The city of Birmingham, being one of the most culturally diverse cities outside of London, presents a unique challenge and opportunity for financial services. Its population spans numerous languages, cultural backgrounds, and varying levels of digital literacy.</w:t>
      </w:r>
    </w:p>
    <w:p>
      <w:pPr>
        <w:pStyle w:val="BodyText"/>
      </w:pPr>
      <w:r>
        <w:rPr>
          <w:bCs/>
          <w:b/>
        </w:rPr>
        <w:t xml:space="preserve">The Problem:</w:t>
      </w:r>
      <w:r>
        <w:br/>
      </w:r>
      <w:r>
        <w:t xml:space="preserve">Despite having a robust backend infrastructure, FinBridge’s mobile application suffered from high drop-off rates during the onboarding process. User analytics indicated that 65% of users abandoned the registration phase within three minutes. Furthermore, customer support tickets related to "confusing interface" had increased by 40% quarter-over-quarter. The existing design was functional but lacked empathy and clarity, failing to resonate with the specific needs of the Birmingham community.</w:t>
      </w:r>
    </w:p>
    <w:bookmarkEnd w:id="21"/>
    <w:bookmarkStart w:id="24" w:name="the-role-of-the-ux-ui-designer"/>
    <w:p>
      <w:pPr>
        <w:pStyle w:val="Heading2"/>
      </w:pPr>
      <w:r>
        <w:t xml:space="preserve">3. The Role of the UX UI Designer</w:t>
      </w:r>
    </w:p>
    <w:p>
      <w:pPr>
        <w:pStyle w:val="FirstParagraph"/>
      </w:pPr>
      <w:r>
        <w:t xml:space="preserve">To address these critical issues, FinBridge engaged a Senior UX UI Designer with extensive experience in United Kingdom regulatory standards and local market dynamics. The primary objective was to overhaul the user journey, focusing on trust-building elements and intuitive navigation.</w:t>
      </w:r>
    </w:p>
    <w:bookmarkStart w:id="22" w:name="research-phase-understanding-birmingham"/>
    <w:p>
      <w:pPr>
        <w:pStyle w:val="Heading3"/>
      </w:pPr>
      <w:r>
        <w:t xml:space="preserve">3.1 Research Phase: Understanding Birmingham</w:t>
      </w:r>
    </w:p>
    <w:p>
      <w:pPr>
        <w:pStyle w:val="FirstParagraph"/>
      </w:pPr>
      <w:r>
        <w:t xml:space="preserve">The designer began with extensive ethnographic research. Rather than relying solely on global data, they conducted field interviews in key areas of United Kingdom Birmingham, including Digbeth and the Jewellery Quarter. This localised approach revealed that many users felt intimidated by traditional banking interfaces. They preferred conversational tones and visual cues that reflected their cultural context.</w:t>
      </w:r>
    </w:p>
    <w:bookmarkEnd w:id="22"/>
    <w:bookmarkStart w:id="23" w:name="design-philosophy-inclusive-by-default"/>
    <w:p>
      <w:pPr>
        <w:pStyle w:val="Heading3"/>
      </w:pPr>
      <w:r>
        <w:t xml:space="preserve">3.2 Design Philosophy: Inclusive by Default</w:t>
      </w:r>
    </w:p>
    <w:p>
      <w:pPr>
        <w:pStyle w:val="FirstParagraph"/>
      </w:pPr>
      <w:r>
        <w:t xml:space="preserve">The core strategy was "Inclusive by Default." The UX UI Designer implemented a design system that prioritized high contrast ratios for visually impaired users, multilingual support options from the first screen, and simplified language structures to assist non-native English speakers—a significant portion of Birmingham’s population.</w:t>
      </w:r>
    </w:p>
    <w:bookmarkEnd w:id="23"/>
    <w:bookmarkEnd w:id="24"/>
    <w:bookmarkStart w:id="26" w:name="implementation-strategy"/>
    <w:p>
      <w:pPr>
        <w:pStyle w:val="Heading2"/>
      </w:pPr>
      <w:r>
        <w:t xml:space="preserve">4. Implementation Strategy</w:t>
      </w:r>
    </w:p>
    <w:p>
      <w:pPr>
        <w:pStyle w:val="FirstParagraph"/>
      </w:pPr>
      <w:r>
        <w:t xml:space="preserve">The redesign process followed an agile methodology, divided into three distinct phases:</w:t>
      </w:r>
    </w:p>
    <w:p>
      <w:pPr>
        <w:numPr>
          <w:ilvl w:val="0"/>
          <w:numId w:val="1001"/>
        </w:numPr>
        <w:pStyle w:val="Compact"/>
      </w:pPr>
      <w:r>
        <w:rPr>
          <w:bCs/>
          <w:b/>
        </w:rPr>
        <w:t xml:space="preserve">Ideation and Wireframing:</w:t>
      </w:r>
      <w:r>
        <w:t xml:space="preserve"> The designer created low-fidelity wireframes focusing on reducing cognitive load. Complex forms were broken down into progressive disclosure steps.</w:t>
      </w:r>
    </w:p>
    <w:p>
      <w:pPr>
        <w:numPr>
          <w:ilvl w:val="0"/>
          <w:numId w:val="1001"/>
        </w:numPr>
        <w:pStyle w:val="Compact"/>
      </w:pPr>
      <w:r>
        <w:rPr>
          <w:bCs/>
          <w:b/>
        </w:rPr>
        <w:t xml:space="preserve">High-Fidelity Prototyping:</w:t>
      </w:r>
      <w:r>
        <w:t xml:space="preserve"> Using Figma, the UX UI Designer developed interactive prototypes that incorporated micro-interactions to provide immediate feedback to users. Colors were adjusted to align with accessibility standards (WCAG 2.1 AA compliance).</w:t>
      </w:r>
    </w:p>
    <w:p>
      <w:pPr>
        <w:numPr>
          <w:ilvl w:val="0"/>
          <w:numId w:val="1001"/>
        </w:numPr>
        <w:pStyle w:val="Compact"/>
      </w:pPr>
      <w:r>
        <w:rPr>
          <w:bCs/>
          <w:b/>
        </w:rPr>
        <w:t xml:space="preserve">User Testing in United Kingdom Birmingham:</w:t>
      </w:r>
      <w:r>
        <w:t xml:space="preserve"> Usability testing sessions were held at local community centers and libraries across Birmingham. This ensured that the design resonated with real-world users rather than just internal stakeholders.</w:t>
      </w:r>
    </w:p>
    <w:bookmarkStart w:id="25" w:name="key-insight-from-testing"/>
    <w:p>
      <w:pPr>
        <w:pStyle w:val="Heading3"/>
      </w:pPr>
      <w:r>
        <w:t xml:space="preserve">Key Insight from Testing</w:t>
      </w:r>
    </w:p>
    <w:p>
      <w:pPr>
        <w:pStyle w:val="FirstParagraph"/>
      </w:pPr>
      <w:r>
        <w:t xml:space="preserve">During testing in Birmingham, it was discovered that users trusted financial applications more when they saw local landmarks or recognized community symbols. The UX UI Designer integrated subtle nods to Birmingham’s identity into the illustration style, creating an emotional connection with the user base.</w:t>
      </w:r>
    </w:p>
    <w:bookmarkEnd w:id="25"/>
    <w:bookmarkEnd w:id="26"/>
    <w:bookmarkStart w:id="27" w:name="results-and-impact"/>
    <w:p>
      <w:pPr>
        <w:pStyle w:val="Heading2"/>
      </w:pPr>
      <w:r>
        <w:t xml:space="preserve">5. Results and Impact</w:t>
      </w:r>
    </w:p>
    <w:p>
      <w:pPr>
        <w:pStyle w:val="FirstParagraph"/>
      </w:pPr>
      <w:r>
        <w:t xml:space="preserve">The launch of the redesigned application marked a turning point for FinBridge. The data collected over six months post-launch demonstrates significant improvements in user engagement and satisfaction.</w:t>
      </w:r>
    </w:p>
    <w:p>
      <w:pPr>
        <w:numPr>
          <w:ilvl w:val="0"/>
          <w:numId w:val="1002"/>
        </w:numPr>
        <w:pStyle w:val="Compact"/>
      </w:pPr>
      <w:r>
        <w:rPr>
          <w:bCs/>
          <w:b/>
        </w:rPr>
        <w:t xml:space="preserve">Reduction in Drop-off Rate:</w:t>
      </w:r>
      <w:r>
        <w:t xml:space="preserve"> The abandonment rate during onboarding decreased from 65% to 28% within the first month of launch.</w:t>
      </w:r>
    </w:p>
    <w:p>
      <w:pPr>
        <w:numPr>
          <w:ilvl w:val="0"/>
          <w:numId w:val="1002"/>
        </w:numPr>
        <w:pStyle w:val="Compact"/>
      </w:pPr>
      <w:r>
        <w:rPr>
          <w:bCs/>
          <w:b/>
        </w:rPr>
        <w:t xml:space="preserve">Increase in Conversion:</w:t>
      </w:r>
      <w:r>
        <w:t xml:space="preserve"> Total loan applications processed increased by 45% quarter-over-quarter.</w:t>
      </w:r>
    </w:p>
    <w:p>
      <w:pPr>
        <w:numPr>
          <w:ilvl w:val="0"/>
          <w:numId w:val="1002"/>
        </w:numPr>
        <w:pStyle w:val="Compact"/>
      </w:pPr>
      <w:r>
        <w:rPr>
          <w:bCs/>
          <w:b/>
        </w:rPr>
        <w:t xml:space="preserve">Customer Support Savings:</w:t>
      </w:r>
      <w:r>
        <w:t xml:space="preserve"> Support tickets related to interface confusion dropped by 70%, allowing the support team to focus on complex financial queries rather than basic navigation help.</w:t>
      </w:r>
    </w:p>
    <w:p>
      <w:pPr>
        <w:numPr>
          <w:ilvl w:val="0"/>
          <w:numId w:val="1002"/>
        </w:numPr>
        <w:pStyle w:val="Compact"/>
      </w:pPr>
      <w:r>
        <w:rPr>
          <w:bCs/>
          <w:b/>
        </w:rPr>
        <w:t xml:space="preserve">User Satisfaction Score (NPS):</w:t>
      </w:r>
      <w:r>
        <w:t xml:space="preserve"> The Net Promoter Score rose from +12 to +58, indicating strong user loyalty and advocacy.</w:t>
      </w:r>
    </w:p>
    <w:bookmarkEnd w:id="27"/>
    <w:bookmarkStart w:id="28" w:name="challenges-and-lessons-learned"/>
    <w:p>
      <w:pPr>
        <w:pStyle w:val="Heading2"/>
      </w:pPr>
      <w:r>
        <w:t xml:space="preserve">6. Challenges and Lessons Learned</w:t>
      </w:r>
    </w:p>
    <w:p>
      <w:pPr>
        <w:pStyle w:val="FirstParagraph"/>
      </w:pPr>
      <w:r>
        <w:t xml:space="preserve">The journey was not without its hurdles. One of the primary challenges was balancing aesthetic appeal with strict accessibility requirements. The UX UI Designer had to navigate the tension between minimalist modern design trends and the need for explicit, high-contrast instructions.</w:t>
      </w:r>
    </w:p>
    <w:p>
      <w:pPr>
        <w:pStyle w:val="BodyText"/>
      </w:pPr>
      <w:r>
        <w:t xml:space="preserve">Another lesson learned was the importance of localizing content beyond just language translation. Cultural nuances regarding money, debt, and trust vary significantly even within United Kingdom Birmingham. The designer successfully navigated this by collaborating with cultural consultants in Birmingham to ensure tone-of-voice adjustments were appropriate and respectful.</w:t>
      </w:r>
    </w:p>
    <w:bookmarkEnd w:id="28"/>
    <w:bookmarkStart w:id="29" w:name="conclusion"/>
    <w:p>
      <w:pPr>
        <w:pStyle w:val="Heading2"/>
      </w:pPr>
      <w:r>
        <w:t xml:space="preserve">7. Conclusion</w:t>
      </w:r>
    </w:p>
    <w:p>
      <w:pPr>
        <w:pStyle w:val="FirstParagraph"/>
      </w:pPr>
      <w:r>
        <w:t xml:space="preserve">This Case Study underscores the vital role of a skilled UX UI Designer in driving business success through user empathy. For FinBridge, operating in United Kingdom Birmingham, the redesign was not just about fixing a broken interface; it was about building trust with a diverse community. The integration of local insights with global best practices resulted in a product that is not only usable but also desirable.</w:t>
      </w:r>
    </w:p>
    <w:p>
      <w:pPr>
        <w:pStyle w:val="BodyText"/>
      </w:pPr>
      <w:r>
        <w:t xml:space="preserve">The success of this project highlights that design is a strategic business asset. By investing in high-quality UX UI design, companies can unlock significant value, improve customer retention, and foster inclusivity. As Birmingham continues to grow as a tech hub in the United Kingdom, this Case Study serves as a benchmark for how local context can drive global-standard digital experiences.</w:t>
      </w:r>
    </w:p>
    <w:bookmarkEnd w:id="29"/>
    <w:bookmarkStart w:id="30" w:name="recommendations-for-other-organizations"/>
    <w:p>
      <w:pPr>
        <w:pStyle w:val="Heading2"/>
      </w:pPr>
      <w:r>
        <w:t xml:space="preserve">8. Recommendations for Other Organizations</w:t>
      </w:r>
    </w:p>
    <w:p>
      <w:pPr>
        <w:pStyle w:val="FirstParagraph"/>
      </w:pPr>
      <w:r>
        <w:t xml:space="preserve">For organizations looking to replicate this success, particularly those operating in diverse urban centers like Birmingham:</w:t>
      </w:r>
    </w:p>
    <w:p>
      <w:pPr>
        <w:numPr>
          <w:ilvl w:val="0"/>
          <w:numId w:val="1003"/>
        </w:numPr>
        <w:pStyle w:val="Compact"/>
      </w:pPr>
      <w:r>
        <w:rPr>
          <w:bCs/>
          <w:b/>
        </w:rPr>
        <w:t xml:space="preserve">Prioritize Local Research:</w:t>
      </w:r>
      <w:r>
        <w:t xml:space="preserve"> Do not assume global data applies to your local user base. Conduct field studies.</w:t>
      </w:r>
    </w:p>
    <w:p>
      <w:pPr>
        <w:numPr>
          <w:ilvl w:val="0"/>
          <w:numId w:val="1003"/>
        </w:numPr>
        <w:pStyle w:val="Compact"/>
      </w:pPr>
      <w:r>
        <w:rPr>
          <w:bCs/>
          <w:b/>
        </w:rPr>
        <w:t xml:space="preserve">Audit for Accessibility Early:</w:t>
      </w:r>
      <w:r>
        <w:t xml:space="preserve"> Integrate accessibility checks into the design phase, not just at the end.</w:t>
      </w:r>
    </w:p>
    <w:p>
      <w:pPr>
        <w:numPr>
          <w:ilvl w:val="0"/>
          <w:numId w:val="1003"/>
        </w:numPr>
        <w:pStyle w:val="Compact"/>
      </w:pPr>
      <w:r>
        <w:rPr>
          <w:bCs/>
          <w:b/>
        </w:rPr>
        <w:t xml:space="preserve">Foster Cross-Functional Collaboration:</w:t>
      </w:r>
      <w:r>
        <w:t xml:space="preserve"> Ensure designers work closely with developers and customer support teams to gather real-world feedback.</w:t>
      </w:r>
    </w:p>
    <w:p>
      <w:pPr>
        <w:pStyle w:val="FirstParagraph"/>
      </w:pPr>
      <w:r>
        <w:t xml:space="preserve">In conclusion, the transformation of FinBridge’s digital platform stands as a testament to the power of thoughtful, human-centered design. It proves that when a UX UI Designer deeply understands their audience—whether in Silicon Valley or United Kingdom Birmingham—the results are measurable, impactful, and enduring.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 UI Designer in United Kingdom Birmingham</dc:title>
  <dc:creator/>
  <dc:language>en</dc:language>
  <cp:keywords/>
  <dcterms:created xsi:type="dcterms:W3CDTF">2026-07-30T06:40:32Z</dcterms:created>
  <dcterms:modified xsi:type="dcterms:W3CDTF">2026-07-30T06:40:32Z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