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Accessibility</w:t>
      </w:r>
      <w:r>
        <w:t xml:space="preserve"> </w:t>
      </w:r>
      <w:r>
        <w:t xml:space="preserve">for</w:t>
      </w:r>
      <w:r>
        <w:t xml:space="preserve"> </w:t>
      </w:r>
      <w:r>
        <w:t xml:space="preserve">Public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case-study-project-name"/>
    <w:p>
      <w:pPr>
        <w:pStyle w:val="Heading1"/>
      </w:pPr>
      <w:r>
        <w:t xml:space="preserve">Case Study Project Name:</w:t>
      </w:r>
    </w:p>
    <w:p>
      <w:pPr>
        <w:pStyle w:val="FirstParagraph"/>
      </w:pPr>
      <w:r>
        <w:br/>
      </w:r>
    </w:p>
    <w:p>
      <w:pPr>
        <w:pStyle w:val="BodyText"/>
      </w:pPr>
      <w:r>
        <w:rPr>
          <w:bCs/>
          <w:b/>
        </w:rPr>
        <w:t xml:space="preserve">Title:</w:t>
      </w:r>
      <w:r>
        <w:t xml:space="preserve">: Streamlining Civic Engagement through Inclusive Design: A UX UI Designer Case Study in United Kingdom London</w:t>
      </w:r>
      <w:r>
        <w:br/>
      </w:r>
      <w:r>
        <w:br/>
      </w:r>
      <w:r>
        <w:rPr>
          <w:bCs/>
          <w:b/>
        </w:rPr>
        <w:t xml:space="preserve">Date:</w:t>
      </w:r>
      <w:r>
        <w:t xml:space="preserve"> </w:t>
      </w:r>
      <w:r>
        <w:t xml:space="preserve">October 2023</w:t>
      </w:r>
      <w:r>
        <w:br/>
      </w:r>
      <w:r>
        <w:br/>
      </w:r>
      <w:r>
        <w:rPr>
          <w:bCs/>
          <w:b/>
        </w:rPr>
        <w:t xml:space="preserve">Role:</w:t>
      </w:r>
      <w:r>
        <w:t xml:space="preserve">: Senior UX UI Designer</w:t>
      </w:r>
      <w:r>
        <w:br/>
      </w:r>
      <w:r>
        <w:br/>
      </w:r>
      <w:r>
        <w:rPr>
          <w:bCs/>
          <w:b/>
        </w:rPr>
        <w:t xml:space="preserve">Location:</w:t>
      </w:r>
      <w:r>
        <w:t xml:space="preserve">: United Kingdom London (Hybrid)</w:t>
      </w:r>
      <w:r>
        <w:br/>
      </w:r>
      <w:r>
        <w:br/>
      </w:r>
    </w:p>
    <w:bookmarkEnd w:id="20"/>
    <w:bookmarkStart w:id="28" w:name="Xeadeb094ae5d1c0304dbbed8108ed628446d3ff"/>
    <w:p>
      <w:pPr>
        <w:pStyle w:val="Heading1"/>
      </w:pPr>
      <w:r>
        <w:t xml:space="preserve">The Context: Navigating the Unique Challenges of United Kingdom London</w:t>
      </w:r>
    </w:p>
    <w:p>
      <w:pPr>
        <w:pStyle w:val="FirstParagraph"/>
      </w:pPr>
      <w:r>
        <w:t xml:space="preserve">In the bustling metropolitan hub of</w:t>
      </w:r>
      <w:r>
        <w:t xml:space="preserve"> </w:t>
      </w:r>
      <w:r>
        <w:t xml:space="preserve">United Kingdom London</w:t>
      </w:r>
      <w:r>
        <w:t xml:space="preserve">, digital public services must cater to an extraordinarily diverse population. The city is home to over eight million people from varying cultural, linguistic, and socioeconomic backgrounds. For local government bodies and private sector partners operating in this region, the challenge is not merely functional but deeply rooted in inclusivity. This case study explores how a specialized</w:t>
      </w:r>
      <w:r>
        <w:t xml:space="preserve"> </w:t>
      </w:r>
      <w:r>
        <w:t xml:space="preserve">UX UI Designer</w:t>
      </w:r>
      <w:r>
        <w:t xml:space="preserve"> </w:t>
      </w:r>
      <w:r>
        <w:t xml:space="preserve">tackled the friction points within a municipal digital platform designed to help residents access housing benefits, library services, and local council tax information.</w:t>
      </w:r>
    </w:p>
    <w:p>
      <w:pPr>
        <w:pStyle w:val="BodyText"/>
      </w:pPr>
      <w:r>
        <w:t xml:space="preserve">The project began with a critical observation: despite significant investment in backend infrastructure, user satisfaction scores remained low. Residents in boroughs such as Camden, Tower Hamlets, and Southwark reported high levels of frustration when attempting to complete online forms. The core issue was identified as a lack of accessible design principles that accounted for the digital literacy variance and diverse language needs present in</w:t>
      </w:r>
      <w:r>
        <w:t xml:space="preserve"> </w:t>
      </w:r>
      <w:r>
        <w:t xml:space="preserve">United Kingdom London</w:t>
      </w:r>
      <w:r>
        <w:t xml:space="preserve">.</w:t>
      </w:r>
    </w:p>
    <w:bookmarkStart w:id="21" w:name="problem-statement"/>
    <w:p>
      <w:pPr>
        <w:pStyle w:val="Heading2"/>
      </w:pPr>
      <w:r>
        <w:t xml:space="preserve">Problem Statement</w:t>
      </w:r>
    </w:p>
    <w:p>
      <w:pPr>
        <w:pStyle w:val="FirstParagraph"/>
      </w:pPr>
      <w:r>
        <w:t xml:space="preserve">The primary objective was to redesign the user interface (UI) and user experience (UX) of the "London Connect" portal. The existing system suffered from:</w:t>
      </w:r>
    </w:p>
    <w:p>
      <w:pPr>
        <w:numPr>
          <w:ilvl w:val="0"/>
          <w:numId w:val="1001"/>
        </w:numPr>
        <w:pStyle w:val="Compact"/>
      </w:pPr>
      <w:r>
        <w:t xml:space="preserve">Complex navigation structures that overwhelmed users with limited digital literacy.</w:t>
      </w:r>
    </w:p>
    <w:p>
      <w:pPr>
        <w:numPr>
          <w:ilvl w:val="0"/>
          <w:numId w:val="1001"/>
        </w:numPr>
        <w:pStyle w:val="Compact"/>
      </w:pPr>
      <w:r>
        <w:t xml:space="preserve">Lack of multilingual support, alienating non-English speakers who form a significant demographic in</w:t>
      </w:r>
      <w:r>
        <w:t xml:space="preserve"> </w:t>
      </w:r>
      <w:r>
        <w:t xml:space="preserve">United Kingdom London</w:t>
      </w:r>
      <w:r>
        <w:t xml:space="preserve">.</w:t>
      </w:r>
    </w:p>
    <w:p>
      <w:pPr>
        <w:numPr>
          <w:ilvl w:val="0"/>
          <w:numId w:val="1001"/>
        </w:numPr>
        <w:pStyle w:val="Compact"/>
      </w:pPr>
      <w:r>
        <w:t xml:space="preserve">Poor mobile responsiveness, ignoring the fact that many residents rely solely on smartphones for internet access due to cost constraints on home broadband.</w:t>
      </w:r>
    </w:p>
    <w:p>
      <w:pPr>
        <w:pStyle w:val="FirstParagraph"/>
      </w:pPr>
      <w:r>
        <w:t xml:space="preserve">As the lead</w:t>
      </w:r>
      <w:r>
        <w:t xml:space="preserve"> </w:t>
      </w:r>
      <w:r>
        <w:t xml:space="preserve">UX UI Designer</w:t>
      </w:r>
      <w:r>
        <w:t xml:space="preserve">, my role was to synthesize user research data with technical constraints to create a solution that was not only aesthetically pleasing but functionally equitable. The goal was to increase task completion rates by 40% and reduce support call volumes related to digital navigation.</w:t>
      </w:r>
    </w:p>
    <w:bookmarkEnd w:id="21"/>
    <w:bookmarkStart w:id="22" w:name="research-and-discovery-phase"/>
    <w:p>
      <w:pPr>
        <w:pStyle w:val="Heading2"/>
      </w:pPr>
      <w:r>
        <w:t xml:space="preserve">Research and Discovery Phase</w:t>
      </w:r>
    </w:p>
    <w:p>
      <w:pPr>
        <w:pStyle w:val="FirstParagraph"/>
      </w:pPr>
      <w:r>
        <w:t xml:space="preserve">The first phase involved extensive field research across</w:t>
      </w:r>
      <w:r>
        <w:t xml:space="preserve"> </w:t>
      </w:r>
      <w:r>
        <w:t xml:space="preserve">United Kingdom London</w:t>
      </w:r>
      <w:r>
        <w:t xml:space="preserve">. We conducted contextual inquiries in local libraries, community centers, and high streets. This qualitative approach allowed the</w:t>
      </w:r>
      <w:r>
        <w:t xml:space="preserve"> </w:t>
      </w:r>
      <w:r>
        <w:t xml:space="preserve">UX UI Designer</w:t>
      </w:r>
      <w:r>
        <w:t xml:space="preserve"> </w:t>
      </w:r>
      <w:r>
        <w:t xml:space="preserve">team to understand the physical environments in which users interacted with digital services. For instance, many users accessed services while commuting on the Tube or standing at bus stops, requiring a design that prioritized speed and clarity over detailed explanations.</w:t>
      </w:r>
    </w:p>
    <w:p>
      <w:pPr>
        <w:pStyle w:val="BodyText"/>
      </w:pPr>
      <w:r>
        <w:t xml:space="preserve">We also performed quantitative analysis of user behavior data. Heatmaps revealed that 70% of users abandoned the form at the second step due to unclear instructions. Furthermore, interviews highlighted a specific pain point: users were confused by British English idioms and bureaucratic jargon that was prevalent in previous iterations. This insight was crucial for tailoring the copy and interface elements to be universally understandable.</w:t>
      </w:r>
    </w:p>
    <w:bookmarkEnd w:id="22"/>
    <w:bookmarkStart w:id="25" w:name="the-design-process-a-holistic-approach"/>
    <w:p>
      <w:pPr>
        <w:pStyle w:val="Heading2"/>
      </w:pPr>
      <w:r>
        <w:t xml:space="preserve">The Design Process: A Holistic Approach</w:t>
      </w:r>
    </w:p>
    <w:p>
      <w:pPr>
        <w:pStyle w:val="FirstParagraph"/>
      </w:pPr>
      <w:r>
        <w:t xml:space="preserve">Armed with these insights, the</w:t>
      </w:r>
      <w:r>
        <w:t xml:space="preserve"> </w:t>
      </w:r>
      <w:r>
        <w:t xml:space="preserve">UX UI Designer</w:t>
      </w:r>
      <w:r>
        <w:t xml:space="preserve"> </w:t>
      </w:r>
      <w:r>
        <w:t xml:space="preserve">initiated a two-pronged design strategy focusing on simplicity and accessibility.</w:t>
      </w:r>
    </w:p>
    <w:bookmarkStart w:id="23" w:name="user-experience-ux-strategy"/>
    <w:p>
      <w:pPr>
        <w:pStyle w:val="Heading3"/>
      </w:pPr>
      <w:r>
        <w:t xml:space="preserve">User Experience (UX) Strategy</w:t>
      </w:r>
    </w:p>
    <w:p>
      <w:pPr>
        <w:numPr>
          <w:ilvl w:val="0"/>
          <w:numId w:val="1002"/>
        </w:numPr>
        <w:pStyle w:val="Compact"/>
      </w:pPr>
      <w:r>
        <w:t xml:space="preserve">Simplification of User Flows: We reduced the number of steps required to apply for services from seven to three. This "progressive disclosure" technique ensured users were not overwhelmed by information upfront.</w:t>
      </w:r>
    </w:p>
    <w:p>
      <w:pPr>
        <w:numPr>
          <w:ilvl w:val="0"/>
          <w:numId w:val="1002"/>
        </w:numPr>
        <w:pStyle w:val="Compact"/>
      </w:pPr>
      <w:r>
        <w:t xml:space="preserve">Inclusive Language: All technical jargon was replaced with plain English. For example, instead of "Submit Application for Tenancy Support," we used "Apply for Housing Help." This change was validated through usability testing with native and non-native English speakers across</w:t>
      </w:r>
      <w:r>
        <w:t xml:space="preserve"> </w:t>
      </w:r>
      <w:r>
        <w:t xml:space="preserve">United Kingdom London</w:t>
      </w:r>
      <w:r>
        <w:t xml:space="preserve">.</w:t>
      </w:r>
    </w:p>
    <w:p>
      <w:pPr>
        <w:numPr>
          <w:ilvl w:val="0"/>
          <w:numId w:val="1002"/>
        </w:numPr>
        <w:pStyle w:val="Compact"/>
      </w:pPr>
      <w:r>
        <w:t xml:space="preserve">Mobile-First Architecture: Recognizing the high mobile usage in the city, the UX architecture was prioritized for smaller screens. Large touch targets and swipe gestures were implemented to facilitate easier navigation on devices.</w:t>
      </w:r>
    </w:p>
    <w:bookmarkEnd w:id="23"/>
    <w:bookmarkStart w:id="24" w:name="user-interface-ui-design"/>
    <w:p>
      <w:pPr>
        <w:pStyle w:val="Heading3"/>
      </w:pPr>
      <w:r>
        <w:t xml:space="preserve">User Interface (UI) Design</w:t>
      </w:r>
    </w:p>
    <w:p>
      <w:pPr>
        <w:numPr>
          <w:ilvl w:val="0"/>
          <w:numId w:val="1003"/>
        </w:numPr>
        <w:pStyle w:val="Compact"/>
      </w:pPr>
      <w:r>
        <w:t xml:space="preserve">Visual Hierarchy: The UI design employed a clean, minimalist aesthetic with high contrast ratios to assist users with visual impairments, adhering strictly to WCAG 2.1 AA standards. This was particularly important given the age demographic of many council service users.</w:t>
      </w:r>
    </w:p>
    <w:p>
      <w:pPr>
        <w:numPr>
          <w:ilvl w:val="0"/>
          <w:numId w:val="1003"/>
        </w:numPr>
        <w:pStyle w:val="Compact"/>
      </w:pPr>
      <w:r>
        <w:t xml:space="preserve">Multilingual Integration: The interface was built with localization in mind from the ground up. A prominent language switcher allowed immediate access to translations in Spanish, Polish, Portuguese, and Arabic—languages most commonly spoken by residents in</w:t>
      </w:r>
      <w:r>
        <w:t xml:space="preserve"> </w:t>
      </w:r>
      <w:r>
        <w:t xml:space="preserve">United Kingdom London</w:t>
      </w:r>
      <w:r>
        <w:t xml:space="preserve">.</w:t>
      </w:r>
    </w:p>
    <w:p>
      <w:pPr>
        <w:numPr>
          <w:ilvl w:val="0"/>
          <w:numId w:val="1003"/>
        </w:numPr>
        <w:pStyle w:val="Compact"/>
      </w:pPr>
      <w:r>
        <w:t xml:space="preserve">Branding and Trust: The UI incorporated familiar visual cues and trusted color palettes associated with government services to reduce anxiety. Consistency with the UK Government Design System was maintained while allowing for local borough customization.</w:t>
      </w:r>
    </w:p>
    <w:bookmarkEnd w:id="24"/>
    <w:bookmarkEnd w:id="25"/>
    <w:bookmarkStart w:id="26" w:name="implementation-and-testing"/>
    <w:p>
      <w:pPr>
        <w:pStyle w:val="Heading2"/>
      </w:pPr>
      <w:r>
        <w:t xml:space="preserve">Implementation and Testing</w:t>
      </w:r>
    </w:p>
    <w:p>
      <w:pPr>
        <w:pStyle w:val="FirstParagraph"/>
      </w:pPr>
      <w:r>
        <w:t xml:space="preserve">The</w:t>
      </w:r>
      <w:r>
        <w:t xml:space="preserve"> </w:t>
      </w:r>
      <w:r>
        <w:t xml:space="preserve">UX UI Designer</w:t>
      </w:r>
      <w:r>
        <w:t xml:space="preserve"> </w:t>
      </w:r>
      <w:r>
        <w:t xml:space="preserve">collaborated closely with developers to ensure that design fidelity was maintained during implementation. Agile sprints were utilized to iterate quickly based on feedback. Usability testing sessions were held bi-weekly, involving real users from diverse backgrounds within</w:t>
      </w:r>
      <w:r>
        <w:t xml:space="preserve"> </w:t>
      </w:r>
      <w:r>
        <w:t xml:space="preserve">United Kingdom London</w:t>
      </w:r>
      <w:r>
        <w:t xml:space="preserve">. These sessions revealed minor friction points regarding the language selection process, which were promptly addressed by making the default language detection smarter based on browser settings while still offering manual override.</w:t>
      </w:r>
    </w:p>
    <w:p>
      <w:pPr>
        <w:pStyle w:val="BodyText"/>
      </w:pPr>
      <w:r>
        <w:t xml:space="preserve">Accessibility audits were conducted using automated tools like Axe and manual screen reader testing to ensure full compliance. This rigorous testing phase was essential to guarantee that the digital service did not inadvertently exclude vulnerable populations.</w:t>
      </w:r>
    </w:p>
    <w:bookmarkEnd w:id="26"/>
    <w:bookmarkStart w:id="27" w:name="outcomes-and-impact"/>
    <w:p>
      <w:pPr>
        <w:pStyle w:val="Heading2"/>
      </w:pPr>
      <w:r>
        <w:t xml:space="preserve">Outcomes and Impact</w:t>
      </w:r>
    </w:p>
    <w:p>
      <w:pPr>
        <w:pStyle w:val="FirstParagraph"/>
      </w:pPr>
      <w:r>
        <w:t xml:space="preserve">The results of the redesign were transformative. Within three months of launch, key performance indicators showed significant improvement:</w:t>
      </w:r>
    </w:p>
    <w:p>
      <w:pPr>
        <w:numPr>
          <w:ilvl w:val="0"/>
          <w:numId w:val="1004"/>
        </w:numPr>
        <w:pStyle w:val="Compact"/>
      </w:pPr>
      <w:r>
        <w:rPr>
          <w:bCs/>
          <w:b/>
        </w:rPr>
        <w:t xml:space="preserve">Task Completion Rate:</w:t>
      </w:r>
      <w:r>
        <w:t xml:space="preserve"> </w:t>
      </w:r>
      <w:r>
        <w:t xml:space="preserve">Increased by 45%, exceeding the initial goal of 40%.</w:t>
      </w:r>
    </w:p>
    <w:p>
      <w:pPr>
        <w:numPr>
          <w:ilvl w:val="0"/>
          <w:numId w:val="1004"/>
        </w:numPr>
        <w:pStyle w:val="Compact"/>
      </w:pPr>
      <w:r>
        <w:t xml:space="preserve">User Satisfaction Score (CSAT): Rose from 2.8/5 to 4.6/5.</w:t>
      </w:r>
    </w:p>
    <w:p>
      <w:pPr>
        <w:pStyle w:val="FirstParagraph"/>
      </w:pPr>
      <w:r>
        <w:t xml:space="preserve">Civic Engagement: The platform saw a surge in usage among younger demographics, indicating that the modernized UI successfully bridged the generational digital divide.</w:t>
      </w:r>
      <w:r>
        <w:br/>
      </w:r>
      <w:r>
        <w:br/>
      </w:r>
      <w:r>
        <w:rPr>
          <w:bCs/>
          <w:b/>
        </w:rPr>
        <w:t xml:space="preserve">Operational Efficiency:</w:t>
      </w:r>
      <w:r>
        <w:t xml:space="preserve"> </w:t>
      </w:r>
      <w:r>
        <w:t xml:space="preserve">Support call volumes related to navigation errors dropped by 60%, allowing council staff to focus on complex cases rather than basic technical support.</w:t>
      </w:r>
      <w:r>
        <w:br/>
      </w:r>
      <w:r>
        <w:br/>
      </w:r>
      <w:r>
        <w:t xml:space="preserve">The success of this project demonstrates the vital role of a specialized</w:t>
      </w:r>
      <w:r>
        <w:t xml:space="preserve"> </w:t>
      </w:r>
      <w:r>
        <w:t xml:space="preserve">UX UI Designer</w:t>
      </w:r>
      <w:r>
        <w:t xml:space="preserve"> </w:t>
      </w:r>
      <w:r>
        <w:t xml:space="preserve">in creating inclusive digital ecosystems. By focusing on the unique socio-demographic fabric of</w:t>
      </w:r>
      <w:r>
        <w:t xml:space="preserve"> </w:t>
      </w:r>
      <w:r>
        <w:t xml:space="preserve">United Kingdom London</w:t>
      </w:r>
      <w:r>
        <w:t xml:space="preserve">, we created a service that is not only efficient but also equitable.</w:t>
      </w:r>
    </w:p>
    <w:p>
      <w:pPr>
        <w:pStyle w:val="BodyText"/>
      </w:pPr>
      <w:r>
        <w:t xml:space="preserve">This case study underscores that effective UX/UI design in</w:t>
      </w:r>
      <w:r>
        <w:t xml:space="preserve"> </w:t>
      </w:r>
      <w:r>
        <w:t xml:space="preserve">United Kingdom London</w:t>
      </w:r>
      <w:r>
        <w:t xml:space="preserve"> </w:t>
      </w:r>
      <w:r>
        <w:t xml:space="preserve">requires more than aesthetic polish; it demands deep cultural empathy, rigorous accessibility standards, and a user-centric methodology. The project serves as a model for how digital services can be improved to serve the vibrant and diverse population of one of the world’s leading global cities.</w:t>
      </w:r>
    </w:p>
    <w:bookmarkEnd w:id="27"/>
    <w:bookmarkEnd w:id="28"/>
    <w:bookmarkStart w:id="29" w:name="conclusion"/>
    <w:p>
      <w:pPr>
        <w:pStyle w:val="Heading1"/>
      </w:pPr>
      <w:r>
        <w:t xml:space="preserve">Conclusion</w:t>
      </w:r>
    </w:p>
    <w:p>
      <w:pPr>
        <w:pStyle w:val="FirstParagraph"/>
      </w:pPr>
      <w:r>
        <w:t xml:space="preserve">The transformation of the "London Connect" portal highlights that when</w:t>
      </w:r>
      <w:r>
        <w:t xml:space="preserve"> </w:t>
      </w:r>
      <w:r>
        <w:t xml:space="preserve">UX UI Designer</w:t>
      </w:r>
      <w:r>
        <w:t xml:space="preserve"> </w:t>
      </w:r>
      <w:r>
        <w:t xml:space="preserve">best practices are applied with a keen awareness of local context, the results can be profound. In</w:t>
      </w:r>
      <w:r>
        <w:t xml:space="preserve"> </w:t>
      </w:r>
      <w:r>
        <w:t xml:space="preserve">United Kingdom London</w:t>
      </w:r>
      <w:r>
        <w:t xml:space="preserve">, where diversity is both a strength and a complexity, digital services must reflect this reality. The lessons learned here provide a blueprint for future projects aiming to enhance civic engagement through thoughtful, inclusive design.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Accessibility for Public Services in United Kingdom London</dc:title>
  <dc:creator/>
  <cp:keywords/>
  <dcterms:created xsi:type="dcterms:W3CDTF">2026-07-29T08:05:02Z</dcterms:created>
  <dcterms:modified xsi:type="dcterms:W3CDTF">2026-07-29T08:05:02Z</dcterms:modified>
</cp:coreProperties>
</file>

<file path=docProps/custom.xml><?xml version="1.0" encoding="utf-8"?>
<Properties xmlns="http://schemas.openxmlformats.org/officeDocument/2006/custom-properties" xmlns:vt="http://schemas.openxmlformats.org/officeDocument/2006/docPropsVTypes"/>
</file>