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```html</w:t>
      </w:r>
    </w:p>
    <w:bookmarkStart w:id="29" w:name="Xcf43c3f69634bceb07e8f1bf0775c6a600a5b08"/>
    <w:p>
      <w:pPr>
        <w:pStyle w:val="Heading1"/>
      </w:pPr>
      <w:r>
        <w:t xml:space="preserve">Redefining Digital Hospitality: A Case Study of the UX/UI Designer Role in United States Miami</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United States, Miami</w:t>
      </w:r>
      <w:r>
        <w:br/>
      </w:r>
      <w:r>
        <w:rPr>
          <w:bCs/>
          <w:b/>
        </w:rPr>
        <w:t xml:space="preserve">Focus Role:</w:t>
      </w:r>
      <w:r>
        <w:t xml:space="preserve"> </w:t>
      </w:r>
      <w:r>
        <w:t xml:space="preserve">Senior UX/UI Designer</w:t>
      </w:r>
    </w:p>
    <w:bookmarkStart w:id="20" w:name="X527abe7625819e707cba10a61dc7422c28510d3"/>
    <w:p>
      <w:pPr>
        <w:pStyle w:val="Heading2"/>
      </w:pPr>
      <w:r>
        <w:t xml:space="preserve">The Challenge: Bridging Culture and Commerce in a Global Hub</w:t>
      </w:r>
    </w:p>
    <w:p>
      <w:pPr>
        <w:pStyle w:val="FirstParagraph"/>
      </w:pPr>
      <w:r>
        <w:t xml:space="preserve">Miami has evolved rapidly over the last decade from a traditional vacation destination into a bustling international hub for fintech, real estate, healthcare, and luxury e-commerce. This transformation presents unique challenges for digital product teams. In the</w:t>
      </w:r>
      <w:r>
        <w:t xml:space="preserve"> </w:t>
      </w:r>
      <w:r>
        <w:rPr>
          <w:bCs/>
          <w:b/>
        </w:rPr>
        <w:t xml:space="preserve">United States Miami</w:t>
      </w:r>
      <w:r>
        <w:t xml:space="preserve"> </w:t>
      </w:r>
      <w:r>
        <w:t xml:space="preserve">market, user expectations are shaped by a highly diverse demographic that includes not only local residents but also significant populations from Latin America and Europe.</w:t>
      </w:r>
    </w:p>
    <w:p>
      <w:pPr>
        <w:pStyle w:val="BodyText"/>
      </w:pPr>
      <w:r>
        <w:t xml:space="preserve">A mid-sized luxury travel booking platform, let us call it "VistaGet," faced a critical stagnation in their user acquisition metrics. Their primary target audience consisted of high-net-worth individuals traveling between North America and South America. While their backend logistics were robust, their digital interface failed to resonate with the nuanced expectations of this specific demographic. The company decided to hire a specialized</w:t>
      </w:r>
      <w:r>
        <w:t xml:space="preserve"> </w:t>
      </w:r>
      <w:r>
        <w:rPr>
          <w:bCs/>
          <w:b/>
        </w:rPr>
        <w:t xml:space="preserve">UX UI Designer</w:t>
      </w:r>
      <w:r>
        <w:t xml:space="preserve"> </w:t>
      </w:r>
      <w:r>
        <w:t xml:space="preserve">who could understand the local cultural context while maintaining global design standards.</w:t>
      </w:r>
    </w:p>
    <w:bookmarkEnd w:id="20"/>
    <w:bookmarkStart w:id="21" w:name="Xae36f27832a63e6d1469bd781505a30fc3b613e"/>
    <w:p>
      <w:pPr>
        <w:pStyle w:val="Heading2"/>
      </w:pPr>
      <w:r>
        <w:t xml:space="preserve">The Role: Defining the United States Miami UX/UI Designer Profile</w:t>
      </w:r>
    </w:p>
    <w:p>
      <w:pPr>
        <w:pStyle w:val="FirstParagraph"/>
      </w:pPr>
      <w:r>
        <w:t xml:space="preserve">The job description for this role was not merely about visual aesthetics; it required a deep understanding of behavioral psychology and cross-cultural design principles. The ideal candidate needed to navigate the specific linguistic and cultural duality present in</w:t>
      </w:r>
      <w:r>
        <w:t xml:space="preserve"> </w:t>
      </w:r>
      <w:r>
        <w:rPr>
          <w:bCs/>
          <w:b/>
        </w:rPr>
        <w:t xml:space="preserve">United States Miami</w:t>
      </w:r>
      <w:r>
        <w:t xml:space="preserve">. This region is unique because it serves as a gateway between two continents, requiring digital products that feel simultaneously American in functionality and Latin American in warmth and community orientation.</w:t>
      </w:r>
    </w:p>
    <w:p>
      <w:pPr>
        <w:pStyle w:val="BodyText"/>
      </w:pPr>
      <w:r>
        <w:t xml:space="preserve">The core responsibilities included:</w:t>
      </w:r>
    </w:p>
    <w:p>
      <w:pPr>
        <w:numPr>
          <w:ilvl w:val="0"/>
          <w:numId w:val="1001"/>
        </w:numPr>
        <w:pStyle w:val="Compact"/>
      </w:pPr>
      <w:r>
        <w:rPr>
          <w:bCs/>
          <w:b/>
        </w:rPr>
        <w:t xml:space="preserve">User Research &amp; Localization:</w:t>
      </w:r>
    </w:p>
    <w:p>
      <w:pPr>
        <w:numPr>
          <w:ilvl w:val="0"/>
          <w:numId w:val="1001"/>
        </w:numPr>
        <w:pStyle w:val="Compact"/>
      </w:pPr>
      <w:r>
        <w:rPr>
          <w:bCs/>
          <w:b/>
        </w:rPr>
        <w:t xml:space="preserve">Journey Mapping:</w:t>
      </w:r>
    </w:p>
    <w:p>
      <w:pPr>
        <w:numPr>
          <w:ilvl w:val="0"/>
          <w:numId w:val="1001"/>
        </w:numPr>
        <w:pStyle w:val="Compact"/>
      </w:pPr>
      <w:r>
        <w:rPr>
          <w:bCs/>
          <w:b/>
        </w:rPr>
        <w:t xml:space="preserve">Visual Identity:</w:t>
      </w:r>
    </w:p>
    <w:p>
      <w:pPr>
        <w:numPr>
          <w:ilvl w:val="0"/>
          <w:numId w:val="1001"/>
        </w:numPr>
        <w:pStyle w:val="Compact"/>
      </w:pPr>
      <w:r>
        <w:rPr>
          <w:bCs/>
          <w:b/>
        </w:rPr>
        <w:t xml:space="preserve">Cross-Functional Collaboration:</w:t>
      </w:r>
    </w:p>
    <w:bookmarkEnd w:id="21"/>
    <w:bookmarkStart w:id="25" w:name="X16c782dd7ec8d3cbbd3546cf2ab6028557c1e0f"/>
    <w:p>
      <w:pPr>
        <w:pStyle w:val="Heading2"/>
      </w:pPr>
      <w:r>
        <w:t xml:space="preserve">The Process: Empathy, Iteration, and Innovation</w:t>
      </w:r>
    </w:p>
    <w:p>
      <w:pPr>
        <w:pStyle w:val="FirstParagraph"/>
      </w:pPr>
      <w:r>
        <w:t xml:space="preserve">The selected</w:t>
      </w:r>
      <w:r>
        <w:t xml:space="preserve"> </w:t>
      </w:r>
      <w:r>
        <w:rPr>
          <w:bCs/>
          <w:b/>
        </w:rPr>
        <w:t xml:space="preserve">UX UI Designer</w:t>
      </w:r>
      <w:r>
        <w:t xml:space="preserve"> </w:t>
      </w:r>
      <w:r>
        <w:t xml:space="preserve">adopted a human-centered design approach. The first phase involved extensive ethnographic research. Recognizing that Miami is a city where business often happens in person or via WhatsApp before moving to formal digital platforms, the designer adjusted the digital experience to feel more conversational and less transactional.</w:t>
      </w:r>
    </w:p>
    <w:bookmarkStart w:id="22" w:name="discovering-the-cultural-nuance"/>
    <w:p>
      <w:pPr>
        <w:pStyle w:val="Heading3"/>
      </w:pPr>
      <w:r>
        <w:t xml:space="preserve">1. Discovering the Cultural Nuance</w:t>
      </w:r>
    </w:p>
    <w:p>
      <w:pPr>
        <w:pStyle w:val="FirstParagraph"/>
      </w:pPr>
      <w:r>
        <w:t xml:space="preserve">The team discovered that many users from neighboring countries found standard US booking interfaces "cold" or overly rigid. They preferred interfaces that offered more context, social proof, and human connection. The designer implemented a new onboarding flow that highlighted local partnerships in Miami, leveraging the city's brand as a lifestyle destination rather than just a transit point.</w:t>
      </w:r>
    </w:p>
    <w:bookmarkEnd w:id="22"/>
    <w:bookmarkStart w:id="23" w:name="the-bilingual-interface-challenge"/>
    <w:p>
      <w:pPr>
        <w:pStyle w:val="Heading3"/>
      </w:pPr>
      <w:r>
        <w:t xml:space="preserve">2. The Bilingual Interface Challenge</w:t>
      </w:r>
    </w:p>
    <w:p>
      <w:pPr>
        <w:pStyle w:val="FirstParagraph"/>
      </w:pPr>
      <w:r>
        <w:t xml:space="preserve">A significant portion of the target market in</w:t>
      </w:r>
      <w:r>
        <w:t xml:space="preserve"> </w:t>
      </w:r>
      <w:r>
        <w:rPr>
          <w:bCs/>
          <w:b/>
        </w:rPr>
        <w:t xml:space="preserve">United States Miami</w:t>
      </w:r>
      <w:r>
        <w:t xml:space="preserve"> </w:t>
      </w:r>
      <w:r>
        <w:t xml:space="preserve">is bilingual or prefers Spanish. Instead of simple language toggles, the designer created a dynamic content system that adapted not just text, but also imagery and color psychology to match cultural preferences. For instance, images featuring diverse families were prioritized for certain segments, while minimalist architecture-focused imagery was used for others.</w:t>
      </w:r>
    </w:p>
    <w:bookmarkEnd w:id="23"/>
    <w:bookmarkStart w:id="24" w:name="prototyping-and-testing"/>
    <w:p>
      <w:pPr>
        <w:pStyle w:val="Heading3"/>
      </w:pPr>
      <w:r>
        <w:t xml:space="preserve">3. Prototyping and Testing</w:t>
      </w:r>
    </w:p>
    <w:p>
      <w:pPr>
        <w:pStyle w:val="FirstParagraph"/>
      </w:pPr>
      <w:r>
        <w:t xml:space="preserve">Rapid prototyping was conducted using Figma. Usability testing sessions were held both remotely and in-person at co-working spaces in Brickell and Wynwood, key hubs for tech-savvy Miamians. Feedback indicated that the previous checkout process was too lengthy. The redesign introduced a "One-Tap Reserve" feature for returning users, drastically reducing cognitive load.</w:t>
      </w:r>
    </w:p>
    <w:bookmarkEnd w:id="24"/>
    <w:bookmarkEnd w:id="25"/>
    <w:bookmarkStart w:id="26" w:name="Xd7bd66bf175e040bde1bbc0bb0ec8f5995fb356"/>
    <w:p>
      <w:pPr>
        <w:pStyle w:val="Heading2"/>
      </w:pPr>
      <w:r>
        <w:t xml:space="preserve">The Solution: A Seamless, Culturally Intelligent Platform</w:t>
      </w:r>
    </w:p>
    <w:p>
      <w:pPr>
        <w:pStyle w:val="FirstParagraph"/>
      </w:pPr>
      <w:r>
        <w:t xml:space="preserve">The final deliverable was a comprehensive design system and a fully redesigned web and mobile application. Key features included:</w:t>
      </w:r>
    </w:p>
    <w:p>
      <w:pPr>
        <w:numPr>
          <w:ilvl w:val="0"/>
          <w:numId w:val="1002"/>
        </w:numPr>
        <w:pStyle w:val="Compact"/>
      </w:pPr>
      <w:r>
        <w:rPr>
          <w:bCs/>
          <w:b/>
        </w:rPr>
        <w:t xml:space="preserve">Miami-First Visual Language:</w:t>
      </w:r>
    </w:p>
    <w:p>
      <w:pPr>
        <w:numPr>
          <w:ilvl w:val="0"/>
          <w:numId w:val="1002"/>
        </w:numPr>
        <w:pStyle w:val="Compact"/>
      </w:pPr>
      <w:r>
        <w:rPr>
          <w:bCs/>
          <w:b/>
        </w:rPr>
        <w:t xml:space="preserve">Semantic Search Integration:</w:t>
      </w:r>
    </w:p>
    <w:p>
      <w:pPr>
        <w:numPr>
          <w:ilvl w:val="0"/>
          <w:numId w:val="1002"/>
        </w:numPr>
        <w:pStyle w:val="Compact"/>
      </w:pPr>
      <w:r>
        <w:rPr>
          <w:bCs/>
          <w:b/>
        </w:rPr>
        <w:t xml:space="preserve">Trust Signals:</w:t>
      </w:r>
    </w:p>
    <w:p>
      <w:pPr>
        <w:pStyle w:val="FirstParagraph"/>
      </w:pPr>
      <w:r>
        <w:t xml:space="preserve">The design was not static; it included adaptive components that responded to user behavior. If a user spent more time viewing family-oriented content, the interface subtly shifted to highlight family suites and activities. This level of personalization was a direct result of the</w:t>
      </w:r>
      <w:r>
        <w:t xml:space="preserve"> </w:t>
      </w:r>
      <w:r>
        <w:rPr>
          <w:bCs/>
          <w:b/>
        </w:rPr>
        <w:t xml:space="preserve">UX UI Designer</w:t>
      </w:r>
      <w:r>
        <w:t xml:space="preserve">'s focus on data-driven empathy.</w:t>
      </w:r>
    </w:p>
    <w:bookmarkEnd w:id="26"/>
    <w:bookmarkStart w:id="27" w:name="Xf4a175c0ca584a0323381be2ed111e3710ce75d"/>
    <w:p>
      <w:pPr>
        <w:pStyle w:val="Heading2"/>
      </w:pPr>
      <w:r>
        <w:t xml:space="preserve">The Results: Impact in the United States Miami Market</w:t>
      </w:r>
    </w:p>
    <w:p>
      <w:pPr>
        <w:pStyle w:val="FirstParagraph"/>
      </w:pPr>
      <w:r>
        <w:t xml:space="preserve">Six months after the launch of the new platform, VistaGet reported significant improvements in key performance indicators (KPIs). The conversion rate increased by 35%, and user retention rates improved by 20%. More importantly, customer satisfaction scores regarding "ease of use" and "cultural relevance" saw a double-digit increase.</w:t>
      </w:r>
    </w:p>
    <w:p>
      <w:pPr>
        <w:pStyle w:val="BodyText"/>
      </w:pPr>
      <w:r>
        <w:t xml:space="preserve">The success of this project highlighted the importance of hiring specialized talent for regional markets. In</w:t>
      </w:r>
      <w:r>
        <w:t xml:space="preserve"> </w:t>
      </w:r>
      <w:r>
        <w:rPr>
          <w:bCs/>
          <w:b/>
        </w:rPr>
        <w:t xml:space="preserve">United States Miami</w:t>
      </w:r>
      <w:r>
        <w:t xml:space="preserve">, a generic national design strategy often falls flat because it misses the hyper-local cultural cues that drive engagement. The role of the</w:t>
      </w:r>
      <w:r>
        <w:t xml:space="preserve"> </w:t>
      </w:r>
      <w:r>
        <w:rPr>
          <w:bCs/>
          <w:b/>
        </w:rPr>
        <w:t xml:space="preserve">UX UI Designer</w:t>
      </w:r>
      <w:r>
        <w:t xml:space="preserve"> </w:t>
      </w:r>
      <w:r>
        <w:t xml:space="preserve">here is not just about pixels; it is about translation—translating business goals into culturally resonant digital experiences.</w:t>
      </w:r>
    </w:p>
    <w:bookmarkEnd w:id="27"/>
    <w:bookmarkStart w:id="28" w:name="conclusion-the-future-of-design-in-miami"/>
    <w:p>
      <w:pPr>
        <w:pStyle w:val="Heading2"/>
      </w:pPr>
      <w:r>
        <w:t xml:space="preserve">Conclusion: The Future of Design in Miami</w:t>
      </w:r>
    </w:p>
    <w:p>
      <w:pPr>
        <w:pStyle w:val="FirstParagraph"/>
      </w:pPr>
      <w:r>
        <w:t xml:space="preserve">This case study demonstrates that the role of the</w:t>
      </w:r>
      <w:r>
        <w:t xml:space="preserve"> </w:t>
      </w:r>
      <w:r>
        <w:rPr>
          <w:bCs/>
          <w:b/>
        </w:rPr>
        <w:t xml:space="preserve">UX UI Designer</w:t>
      </w:r>
      <w:r>
        <w:t xml:space="preserve"> </w:t>
      </w:r>
      <w:r>
        <w:t xml:space="preserve">in major metropolitan areas like</w:t>
      </w:r>
      <w:r>
        <w:t xml:space="preserve"> </w:t>
      </w:r>
      <w:r>
        <w:rPr>
          <w:bCs/>
          <w:b/>
        </w:rPr>
        <w:t xml:space="preserve">United States Miami</w:t>
      </w:r>
      <w:r>
        <w:t xml:space="preserve">. As these cities continue to grow as economic powerhouses, they require digital products that are inclusive, adaptable, and culturally intelligent.</w:t>
      </w:r>
    </w:p>
    <w:p>
      <w:pPr>
        <w:pStyle w:val="BodyText"/>
      </w:pPr>
      <w:r>
        <w:t xml:space="preserve">The lessons learned from this engagement suggest a broader trend: design teams must embed cultural competency into their core workflows. The designer who succeeds in this market is one who understands that technology is universal, but user experience is deeply local. By focusing on the specific needs of the</w:t>
      </w:r>
      <w:r>
        <w:t xml:space="preserve"> </w:t>
      </w:r>
      <w:r>
        <w:rPr>
          <w:bCs/>
          <w:b/>
        </w:rPr>
        <w:t xml:space="preserve">United States Miami</w:t>
      </w:r>
      <w:r>
        <w:t xml:space="preserve"> </w:t>
      </w:r>
      <w:r>
        <w:t xml:space="preserve">demographic—blending efficiency with warmth—VistaGet was able to carve out a competitive advantage in a crowded marketplace.</w:t>
      </w:r>
    </w:p>
    <w:p>
      <w:pPr>
        <w:pStyle w:val="BodyText"/>
      </w:pPr>
      <w:r>
        <w:t xml:space="preserve">This case study serves as a blueprint for organizations looking to expand or refine their digital presence in diverse, dynamic regions. It underscores that investing in high-quality UX/UI design is not an aesthetic luxury, but a strategic imperative for growth in the modern digital economy.</w:t>
      </w:r>
    </w:p>
    <w:bookmarkEnd w:id="28"/>
    <w:bookmarkEnd w:id="29"/>
    <w:p>
      <w:pPr>
        <w:pStyle w:val="BodyText"/>
      </w:pPr>
      <w:r>
        <w:t xml:space="preserve">© 2023 Digital Design Insights. All rights reserved.</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language>en</dc:language>
  <cp:keywords/>
  <dcterms:created xsi:type="dcterms:W3CDTF">2026-07-29T12:24:54Z</dcterms:created>
  <dcterms:modified xsi:type="dcterms:W3CDTF">2026-07-29T12:24:54Z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