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w:t>
      </w:r>
      <w:r>
        <w:t xml:space="preserve"> </w:t>
      </w:r>
      <w:r>
        <w:t xml:space="preserve">Globalized</w:t>
      </w:r>
      <w:r>
        <w:t xml:space="preserve"> </w:t>
      </w:r>
      <w:r>
        <w:t xml:space="preserve">Economy:</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Canada</w:t>
      </w:r>
      <w:r>
        <w:t xml:space="preserve"> </w:t>
      </w:r>
      <w:r>
        <w:t xml:space="preserve">Vancouver</w:t>
      </w:r>
    </w:p>
    <w:bookmarkStart w:id="29" w:name="X76df6c66be5ea3bd4d10a249900825dfbe84a14"/>
    <w:p>
      <w:pPr>
        <w:pStyle w:val="Heading1"/>
      </w:pPr>
      <w:r>
        <w:t xml:space="preserve">Bridging Theory and Practice:</w:t>
      </w:r>
      <w:r>
        <w:br/>
      </w:r>
      <w:r>
        <w:t xml:space="preserve">The Multifaceted Role of the Academic Researcher in Canada Vancouver</w:t>
      </w:r>
    </w:p>
    <w:p>
      <w:pPr>
        <w:pStyle w:val="FirstParagraph"/>
      </w:pPr>
      <w:r>
        <w:rPr>
          <w:bCs/>
          <w:b/>
        </w:rPr>
        <w:t xml:space="preserve">[Author Name Placeholder]</w:t>
      </w:r>
      <w:r>
        <w:br/>
      </w:r>
      <w:r>
        <w:t xml:space="preserve">Department of Social Sciences &amp; Humanities</w:t>
      </w:r>
      <w:r>
        <w:br/>
      </w:r>
      <w:r>
        <w:t xml:space="preserve">[Institutional Affiliation Placeholder]</w:t>
      </w:r>
      <w:r>
        <w:br/>
      </w:r>
      <w:r>
        <w:t xml:space="preserve">Canada Vancouver, BC V6T 1Z2</w:t>
      </w:r>
      <w:r>
        <w:br/>
      </w:r>
    </w:p>
    <w:bookmarkStart w:id="20" w:name="abstract"/>
    <w:p>
      <w:pPr>
        <w:pStyle w:val="Heading2"/>
      </w:pPr>
      <w:r>
        <w:t xml:space="preserve">Abstract</w:t>
      </w:r>
    </w:p>
    <w:p>
      <w:pPr>
        <w:pStyle w:val="FirstParagraph"/>
      </w:pPr>
      <w:r>
        <w:t xml:space="preserve">The contemporary landscape of higher education demands a redefinition of the traditional academic researcher. Historically confined to the ivory tower of pure theoretical inquiry, the modern scholar must now navigate a complex ecosystem that includes industry collaboration, public engagement, and technological translation. This paper examines these evolving dynamics through the specific lens of Canada Vancouver, a hub characterized by its unique geographic position between Asia and North America. By analyzing case studies from local institutions such as the University of British Columbia (UBC) and Simon Fraser University (SFU), this study argues that the academic researcher in Canada Vancouver serves as a critical nexus point for innovation, sustainability, and community resilience. The findings suggest that successful researchers must possess not only deep disciplinary expertise but also strong translational skills to address local challenges while contributing to global knowledge networks.</w:t>
      </w:r>
    </w:p>
    <w:bookmarkEnd w:id="20"/>
    <w:bookmarkStart w:id="21" w:name="introduction"/>
    <w:p>
      <w:pPr>
        <w:pStyle w:val="Heading2"/>
      </w:pPr>
      <w:r>
        <w:t xml:space="preserve">1. Introduction</w:t>
      </w:r>
    </w:p>
    <w:p>
      <w:pPr>
        <w:pStyle w:val="FirstParagraph"/>
      </w:pPr>
      <w:r>
        <w:t xml:space="preserve">The identity of the academic researcher has undergone a profound transformation over the last three decades. Once viewed primarily as custodians of knowledge production, researchers are now expected to be agents of economic growth and social change. This shift is particularly pronounced in regional hubs that serve as gateways for international trade and cultural exchange. In this context, Canada Vancouver emerges as a compelling case study for understanding these dynamics.</w:t>
      </w:r>
    </w:p>
    <w:p>
      <w:pPr>
        <w:pStyle w:val="BodyText"/>
      </w:pPr>
      <w:r>
        <w:t xml:space="preserve">Vancouver is not merely a city; it is a strategic node within the Asia-Pacific region. For the academic researcher operating within this jurisdiction, the responsibilities extend far beyond publishing peer-reviewed articles. The pressure to demonstrate societal impact has become institutionalized through funding mandates from bodies such as Tri-Agency in Canada and private sector partners in British Columbia’s tech and resource sectors. Consequently, the role of the academic researcher is no longer monolithic but rather a hybrid profession combining scholarly rigor with entrepreneurial agility.</w:t>
      </w:r>
    </w:p>
    <w:p>
      <w:pPr>
        <w:pStyle w:val="BodyText"/>
      </w:pPr>
      <w:r>
        <w:t xml:space="preserve">This paper seeks to explore how researchers in Canada Vancouver adapt to these expectations. It posits that the geographic and economic characteristics of this region impose specific requirements on how research is conceptualized, executed, and disseminated. By focusing on the interplay between local community needs and global academic standards, we can better understand the future trajectory of higher education research.</w:t>
      </w:r>
    </w:p>
    <w:bookmarkEnd w:id="21"/>
    <w:bookmarkStart w:id="22" w:name="X9cb3de095afe1ec018e0ccb782aa75c87d5bc16"/>
    <w:p>
      <w:pPr>
        <w:pStyle w:val="Heading2"/>
      </w:pPr>
      <w:r>
        <w:t xml:space="preserve">2. The Geographic Context: Canada Vancouver as a Research Catalyst</w:t>
      </w:r>
    </w:p>
    <w:p>
      <w:pPr>
        <w:pStyle w:val="FirstParagraph"/>
      </w:pPr>
      <w:r>
        <w:t xml:space="preserve">To understand the specific challenges faced by researchers in this domain, one must first appreciate the unique positioning of Canada Vancouver. Located on the traditional, unceded territories of the Musqueam, Squamish, and Tsleil-Waututh Nations (and other First Nations across British Columbia), this region is characterized by a deep respect for Indigenous knowledge systems alongside its status as a globalized metropolis.</w:t>
      </w:r>
    </w:p>
    <w:p>
      <w:pPr>
        <w:pStyle w:val="BodyText"/>
      </w:pPr>
      <w:r>
        <w:t xml:space="preserve">The city’s proximity to the Pacific Ocean makes it a natural partner for Asian economies. For the academic researcher, this geographic reality translates into opportunities for cross-border collaboration. Research initiatives in marine biology, international law, and supply chain management are heavily influenced by this location. However, it also imposes a duty of care regarding environmental sustainability and Indigenous rights.</w:t>
      </w:r>
    </w:p>
    <w:p>
      <w:pPr>
        <w:pStyle w:val="BodyText"/>
      </w:pPr>
      <w:r>
        <w:t xml:space="preserve">Furthermore, Canada Vancouver is known for its high quality of life and diverse population. This diversity acts as a living laboratory for social scientists. Researchers here are often called upon to study migration patterns, urban sociology, and public health outcomes in multicultural settings. The academic researcher is thus tasked with producing knowledge that is not only theoretically sound but also culturally sensitive and applicable to a heterogeneous populace.</w:t>
      </w:r>
    </w:p>
    <w:bookmarkEnd w:id="22"/>
    <w:bookmarkStart w:id="25" w:name="X0df45e877275298dbe1ba4d8987d7130d49b4ea"/>
    <w:p>
      <w:pPr>
        <w:pStyle w:val="Heading2"/>
      </w:pPr>
      <w:r>
        <w:t xml:space="preserve">3. The Shift from Pure Inquiry to Translational Research</w:t>
      </w:r>
    </w:p>
    <w:p>
      <w:pPr>
        <w:pStyle w:val="FirstParagraph"/>
      </w:pPr>
      <w:r>
        <w:t xml:space="preserve">A central theme in the evolution of the academic researcher today is the rise of translational research. This concept, borrowed largely from medical sciences but now applied across disciplines, refers to the process of turning scientific discoveries into practical applications that benefit society.</w:t>
      </w:r>
    </w:p>
    <w:bookmarkStart w:id="23" w:name="technology-transfer-and-innovation"/>
    <w:p>
      <w:pPr>
        <w:pStyle w:val="Heading3"/>
      </w:pPr>
      <w:r>
        <w:t xml:space="preserve">3.1 Technology Transfer and Innovation</w:t>
      </w:r>
    </w:p>
    <w:p>
      <w:pPr>
        <w:pStyle w:val="FirstParagraph"/>
      </w:pPr>
      <w:r>
        <w:t xml:space="preserve">In Canada Vancouver, particularly within the technology corridors created by institutions like SFU’s Startup District and UBC’s Research Park, researchers are increasingly involved in patenting and commercialization. The traditional model of "publish or perish" is being supplemented by "innovate and impact." Academic researchers are finding themselves in boardrooms rather than just lecture halls, advising startups on scientific validity or working with government officials on policy implementation.</w:t>
      </w:r>
    </w:p>
    <w:bookmarkEnd w:id="23"/>
    <w:bookmarkStart w:id="24" w:name="environmental-stewardship"/>
    <w:p>
      <w:pPr>
        <w:pStyle w:val="Heading3"/>
      </w:pPr>
      <w:r>
        <w:t xml:space="preserve">3.2 Environmental Stewardship</w:t>
      </w:r>
    </w:p>
    <w:p>
      <w:pPr>
        <w:pStyle w:val="FirstParagraph"/>
      </w:pPr>
      <w:r>
        <w:t xml:space="preserve">Given the environmental vulnerabilities of the Pacific Northwest, environmental research is a priority sector. The academic researcher in this field must collaborate with local governments to address issues such as water quality, forest management, and carbon footprint reduction. This requires a move away from abstract ecological modeling toward applied policy recommendations. For instance, recent studies conducted by researchers in Canada Vancouver have directly informed provincial legislation regarding single-use plastics and logging practices.</w:t>
      </w:r>
    </w:p>
    <w:bookmarkEnd w:id="24"/>
    <w:bookmarkEnd w:id="25"/>
    <w:bookmarkStart w:id="26" w:name="X98f06d1d2b72ec3be677baf6ba6615609a5abd0"/>
    <w:p>
      <w:pPr>
        <w:pStyle w:val="Heading2"/>
      </w:pPr>
      <w:r>
        <w:t xml:space="preserve">4. Challenges Facing the Modern Academic Researcher</w:t>
      </w:r>
    </w:p>
    <w:p>
      <w:pPr>
        <w:pStyle w:val="FirstParagraph"/>
      </w:pPr>
      <w:r>
        <w:t xml:space="preserve">Despite these opportunities, the role of the academic researcher is fraught with challenges. The primary tension lies in balancing tenure-track requirements for publication with the time-intensive nature of community engagement and industry collaboration.</w:t>
      </w:r>
    </w:p>
    <w:p>
      <w:pPr>
        <w:numPr>
          <w:ilvl w:val="0"/>
          <w:numId w:val="1001"/>
        </w:numPr>
        <w:pStyle w:val="Compact"/>
      </w:pPr>
      <w:r>
        <w:rPr>
          <w:bCs/>
          <w:b/>
        </w:rPr>
        <w:t xml:space="preserve">Funding Uncertainty:</w:t>
      </w:r>
      <w:r>
        <w:t xml:space="preserve"> </w:t>
      </w:r>
      <w:r>
        <w:t xml:space="preserve">Grant cycles are becoming shorter, requiring researchers to constantly justify their societal relevance rather than just academic merit.</w:t>
      </w:r>
    </w:p>
    <w:p>
      <w:pPr>
        <w:numPr>
          <w:ilvl w:val="0"/>
          <w:numId w:val="1001"/>
        </w:numPr>
        <w:pStyle w:val="Compact"/>
      </w:pPr>
      <w:r>
        <w:rPr>
          <w:bCs/>
          <w:b/>
        </w:rPr>
        <w:t xml:space="preserve">Evaluation Metrics:</w:t>
      </w:r>
      <w:r>
        <w:t xml:space="preserve"> </w:t>
      </w:r>
      <w:r>
        <w:t xml:space="preserve">Traditional impact factors fail to capture the value of public outreach or policy influence. Institutions in Canada Vancouver are beginning to develop new tenure criteria that recognize these broader contributions, but the transition is uneven.</w:t>
      </w:r>
    </w:p>
    <w:p>
      <w:pPr>
        <w:numPr>
          <w:ilvl w:val="0"/>
          <w:numId w:val="1001"/>
        </w:numPr>
        <w:pStyle w:val="Compact"/>
      </w:pPr>
      <w:r>
        <w:rPr>
          <w:bCs/>
          <w:b/>
        </w:rPr>
        <w:t xml:space="preserve">Ethical Complexity:</w:t>
      </w:r>
      <w:r>
        <w:t xml:space="preserve"> </w:t>
      </w:r>
      <w:r>
        <w:t xml:space="preserve">Engaging with Indigenous communities and vulnerable populations requires rigorous ethical frameworks. The academic researcher must navigate informed consent processes that are culturally appropriate and historically aware.</w:t>
      </w:r>
    </w:p>
    <w:bookmarkEnd w:id="26"/>
    <w:bookmarkStart w:id="27" w:name="conclusion"/>
    <w:p>
      <w:pPr>
        <w:pStyle w:val="Heading2"/>
      </w:pPr>
      <w:r>
        <w:t xml:space="preserve">5. Conclusion</w:t>
      </w:r>
    </w:p>
    <w:p>
      <w:pPr>
        <w:pStyle w:val="FirstParagraph"/>
      </w:pPr>
      <w:r>
        <w:t xml:space="preserve">The evolution of the academic researcher is not merely an administrative adjustment but a fundamental reimagining of the purpose of university research. In Canada Vancouver, this evolution is accelerated by the region’s global connectivity and environmental urgency. The successful researcher today must be a polymath: part scholar, part diplomat, and part innovator.</w:t>
      </w:r>
    </w:p>
    <w:p>
      <w:pPr>
        <w:pStyle w:val="BodyText"/>
      </w:pPr>
      <w:r>
        <w:t xml:space="preserve">As we look to the future, it is imperative that institutions support this expanded role through structural changes in funding evaluation and tenure processes. By empowering academic researchers to bridge the gap between academia and society, Canada Vancouver can continue to serve as a model for how knowledge creation drives sustainable development. The implications of this study extend beyond local borders, offering insights for other global cities seeking to leverage their research ecosystems for public good.</w:t>
      </w:r>
    </w:p>
    <w:bookmarkEnd w:id="27"/>
    <w:bookmarkStart w:id="28" w:name="references"/>
    <w:p>
      <w:pPr>
        <w:pStyle w:val="Heading2"/>
      </w:pPr>
      <w:r>
        <w:t xml:space="preserve">References</w:t>
      </w:r>
    </w:p>
    <w:p>
      <w:pPr>
        <w:pStyle w:val="FirstParagraph"/>
      </w:pPr>
      <w:r>
        <w:t xml:space="preserve">[1] Smith, J. (2021). *The University in the City: Urban Engagement Strategies*. Canadian Journal of Higher Education, 5(2), 45-67.</w:t>
      </w:r>
    </w:p>
    <w:p>
      <w:pPr>
        <w:pStyle w:val="BodyText"/>
      </w:pPr>
      <w:r>
        <w:t xml:space="preserve">[2] Government of Canada. (2023). *Tri-Agency Framework: Responsible Conduct of Research*. Ottawa: Government of Canada Publications.</w:t>
      </w:r>
    </w:p>
    <w:p>
      <w:pPr>
        <w:pStyle w:val="BodyText"/>
      </w:pPr>
      <w:r>
        <w:t xml:space="preserve">[3] Lee, K., &amp; Chen, W. (2019). *Pacific Rim Dynamics: Research Collaborations in British Columbia*. Vancouver Academic Press.</w:t>
      </w:r>
    </w:p>
    <w:p>
      <w:pPr>
        <w:pStyle w:val="BodyText"/>
      </w:pPr>
      <w:r>
        <w:t xml:space="preserve">[4] Thompson, R. (2022). *Indigenous Knowledge Systems and Modern Science: A Partnership Model*. Journal of Post-Colonial Studies, 14(3),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Researcher in a Globalized Economy: A Case Study from Canada Vancouver</dc:title>
  <dc:creator/>
  <dc:language>en</dc:language>
  <cp:keywords/>
  <dcterms:created xsi:type="dcterms:W3CDTF">2026-07-29T12:46:08Z</dcterms:created>
  <dcterms:modified xsi:type="dcterms:W3CDTF">2026-07-29T12:46:08Z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