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German</w:t>
      </w:r>
      <w:r>
        <w:t xml:space="preserve"> </w:t>
      </w:r>
      <w:r>
        <w:t xml:space="preserve">Science:</w:t>
      </w:r>
      <w:r>
        <w:t xml:space="preserve"> </w:t>
      </w:r>
      <w:r>
        <w:t xml:space="preserve">A</w:t>
      </w:r>
      <w:r>
        <w:t xml:space="preserve"> </w:t>
      </w:r>
      <w:r>
        <w:t xml:space="preserve">Focus</w:t>
      </w:r>
      <w:r>
        <w:t xml:space="preserve"> </w:t>
      </w:r>
      <w:r>
        <w:t xml:space="preserve">on</w:t>
      </w:r>
      <w:r>
        <w:t xml:space="preserve"> </w:t>
      </w:r>
      <w:r>
        <w:t xml:space="preserve">Munich’s</w:t>
      </w:r>
      <w:r>
        <w:t xml:space="preserve"> </w:t>
      </w:r>
      <w:r>
        <w:t xml:space="preserve">Innovation</w:t>
      </w:r>
      <w:r>
        <w:t xml:space="preserve"> </w:t>
      </w:r>
      <w:r>
        <w:t xml:space="preserve">Ecosystem</w:t>
      </w:r>
    </w:p>
    <w:bookmarkStart w:id="31" w:name="Xfcc43d3259fb182a981c74ec39ab152f97f65c7"/>
    <w:p>
      <w:pPr>
        <w:pStyle w:val="Heading1"/>
      </w:pPr>
      <w:r>
        <w:t xml:space="preserve">The Evolving Role of the Academic Researcher in Contemporary German Science: A Focus on Munich’s Innovation Ecosystem</w:t>
      </w:r>
    </w:p>
    <w:p>
      <w:pPr>
        <w:pStyle w:val="FirstParagraph"/>
      </w:pPr>
      <w:r>
        <w:rPr>
          <w:bCs/>
          <w:b/>
        </w:rPr>
        <w:t xml:space="preserve">Johannes Weber, Ph.D.</w:t>
      </w:r>
      <w:r>
        <w:br/>
      </w:r>
      <w:r>
        <w:t xml:space="preserve">Institute for Advanced Study</w:t>
      </w:r>
      <w:r>
        <w:br/>
      </w:r>
      <w:r>
        <w:t xml:space="preserve">Technical University of Munich (TUM)</w:t>
      </w:r>
      <w:r>
        <w:br/>
      </w:r>
      <w:r>
        <w:t xml:space="preserve">Munich, Germany</w:t>
      </w:r>
      <w:r>
        <w:br/>
      </w:r>
      <w:r>
        <w:rPr>
          <w:iCs/>
          <w:i/>
        </w:rPr>
        <w:t xml:space="preserve">Email: j.weber@tum.de</w:t>
      </w:r>
    </w:p>
    <w:bookmarkStart w:id="20" w:name="abstract"/>
    <w:p>
      <w:pPr>
        <w:pStyle w:val="Heading2"/>
      </w:pPr>
      <w:r>
        <w:t xml:space="preserve">Abstract</w:t>
      </w:r>
    </w:p>
    <w:p>
      <w:pPr>
        <w:pStyle w:val="FirstParagraph"/>
      </w:pPr>
      <w:r>
        <w:t xml:space="preserve">The landscape of higher education and scientific inquiry in Europe is undergoing a profound transformation, driven by the demands for interdisciplinary collaboration, open science practices, and rapid technology transfer. This paper examines the multifaceted role of the modern Academic Researcher within this shifting paradigm, with a specific case study focus on Germany Munich. As one of Europe’s leading hubs for science and technology, Munich presents a unique microcosm where traditional Humboldtian ideals of pure research intersect with aggressive commercialization strategies and international talent acquisition. Through an analysis of institutional frameworks at the Technical University of Munich (TUM) and Ludwig-Maximilians-Universität München (LMU), alongside observations from the Max Planck Society, this study argues that the Academic Researcher in Germany Munich has evolved from a solitary scholar into a complex network node requiring competencies in project management, international communication, and entrepreneurial thinking. The paper further explores the challenges posed by precarious employment structures and funding dependencies, proposing policy recommendations to sustain researcher well-being while maintaining Munich’s competitive edge.</w:t>
      </w:r>
    </w:p>
    <w:p>
      <w:pPr>
        <w:pStyle w:val="BodyText"/>
      </w:pPr>
      <w:r>
        <w:rPr>
          <w:bCs/>
          <w:b/>
        </w:rPr>
        <w:t xml:space="preserve">Keywords:</w:t>
      </w:r>
      <w:r>
        <w:t xml:space="preserve"> </w:t>
      </w:r>
      <w:r>
        <w:t xml:space="preserve">Academic Researcher, Germany Munich, Research Policy, Innovation Ecosystems, Higher Education Reform</w:t>
      </w:r>
    </w:p>
    <w:bookmarkEnd w:id="20"/>
    <w:bookmarkStart w:id="21" w:name="i.-introduction"/>
    <w:p>
      <w:pPr>
        <w:pStyle w:val="Heading2"/>
      </w:pPr>
      <w:r>
        <w:t xml:space="preserve">I. Introduction</w:t>
      </w:r>
    </w:p>
    <w:p>
      <w:pPr>
        <w:pStyle w:val="FirstParagraph"/>
      </w:pPr>
      <w:r>
        <w:t xml:space="preserve">The identity of the Academic Researcher has been redefined over the last two decades by a series of structural reforms and societal expectations. Traditionally viewed through the lens of Wilhelm von Humboldt’s model, where research and teaching were unified in a spirit of "Bildung" (self-formation), contemporary scientific work is increasingly characterized by metrics-driven accountability and external funding pressures. Nowhere is this tension more palpable than in Germany Munich, a city that serves as both a historical bastion of German intellectualism and a dynamic center for modern technological innovation.</w:t>
      </w:r>
    </w:p>
    <w:p>
      <w:pPr>
        <w:pStyle w:val="BodyText"/>
      </w:pPr>
      <w:r>
        <w:t xml:space="preserve">Munich’s status as a scientific capital is underpinned by its dense concentration of prestigious institutions, including two major universities, numerous institutes of the Max Planck Society, Fraunhofer Association, and Helmholtz Association. This density creates a unique ecosystem where the boundaries between academia and industry are porous. Consequently, the role of the Academic Researcher in this specific geographic and institutional context is distinct from their counterparts in other European capitals. They are expected not only to produce high-impact publications but also to engage with local industries such as automotive manufacturing, biotechnology, and information technology.</w:t>
      </w:r>
    </w:p>
    <w:bookmarkEnd w:id="21"/>
    <w:bookmarkStart w:id="24" w:name="X307864ecdf8d27ed2114f3619f1b063bff53e0c"/>
    <w:p>
      <w:pPr>
        <w:pStyle w:val="Heading2"/>
      </w:pPr>
      <w:r>
        <w:t xml:space="preserve">II. The Munich Context: A Hub of Interdisciplinary Convergence</w:t>
      </w:r>
    </w:p>
    <w:p>
      <w:pPr>
        <w:pStyle w:val="FirstParagraph"/>
      </w:pPr>
      <w:r>
        <w:t xml:space="preserve">To understand the specific pressures and opportunities facing the Academic Researcher in Germany Munich, one must first analyze the local ecosystem. Unlike other German cities where research might be siloed within individual universities, Munich benefits from a coordinated strategy often referred to as "Munich Science." This initiative aims to strengthen the visibility and attractiveness of science in the region by fostering collaboration between TUM, LMU, and non-university research organizations.</w:t>
      </w:r>
    </w:p>
    <w:bookmarkStart w:id="22" w:name="ii.a.-the-industry-academia-interface"/>
    <w:p>
      <w:pPr>
        <w:pStyle w:val="Heading3"/>
      </w:pPr>
      <w:r>
        <w:t xml:space="preserve">II.A. The Industry-Academia Interface</w:t>
      </w:r>
    </w:p>
    <w:p>
      <w:pPr>
        <w:pStyle w:val="FirstParagraph"/>
      </w:pPr>
      <w:r>
        <w:t xml:space="preserve">Munich is home to global corporate headquarters such as Siemens, BMW, Allianz, and Google’s major European engineering hub. For the Academic Researcher here, collaboration with these entities is not merely an option but a structural expectation. Third-party funding (Drittmittel) has become a critical component of university budgets in Munich. This shift implies that researchers must possess skills beyond pure scientific inquiry; they must act as project managers and business developers.</w:t>
      </w:r>
    </w:p>
    <w:p>
      <w:pPr>
        <w:pStyle w:val="BodyText"/>
      </w:pPr>
      <w:r>
        <w:t xml:space="preserve">Furthermore, the proximity to these industries accelerates the technology transfer process. Spin-off companies are frequent outcomes of academic research in Munich’s incubators, such as those at TUM’s Founders Center. The Academic Researcher is thus increasingly viewed as an innovator whose work has immediate societal and economic applicability.</w:t>
      </w:r>
    </w:p>
    <w:bookmarkEnd w:id="22"/>
    <w:bookmarkStart w:id="23" w:name="X0802c57c2d6877cf20f4dc4afd8284b5a5e61ae"/>
    <w:p>
      <w:pPr>
        <w:pStyle w:val="Heading3"/>
      </w:pPr>
      <w:r>
        <w:t xml:space="preserve">II.B. Internationalization and Talent Mobility</w:t>
      </w:r>
    </w:p>
    <w:p>
      <w:pPr>
        <w:pStyle w:val="FirstParagraph"/>
      </w:pPr>
      <w:r>
        <w:t xml:space="preserve">Munich attracts a significant portion of Germany’s international scientific workforce. The language barrier, while diminishing in technical fields, remains a factor for social integration and administrative navigation. The role of the Academic Researcher in Germany Munich now includes navigating a multicultural workplace. English has largely become the lingua franca of laboratories and seminars, yet local knowledge regarding German bureaucratic structures is essential for grant applications and legal compliance.</w:t>
      </w:r>
    </w:p>
    <w:bookmarkEnd w:id="23"/>
    <w:bookmarkEnd w:id="24"/>
    <w:bookmarkStart w:id="27" w:name="Xbbe16e7cc3066aeadf5aef9f3d34ba6af8123f2"/>
    <w:p>
      <w:pPr>
        <w:pStyle w:val="Heading2"/>
      </w:pPr>
      <w:r>
        <w:t xml:space="preserve">III. Challenges Facing the Modern Academic Researcher</w:t>
      </w:r>
    </w:p>
    <w:p>
      <w:pPr>
        <w:pStyle w:val="FirstParagraph"/>
      </w:pPr>
      <w:r>
        <w:t xml:space="preserve">Despite the vibrant ecosystem, significant challenges persist for researchers in Munich. The most pressing issue is job security. The prevalence of fixed-term contracts (Wissenschaftliche Mitarbeiter) creates a "perpetual postdoc" phenomenon, where early-career researchers struggle to transition into tenured positions.</w:t>
      </w:r>
    </w:p>
    <w:bookmarkStart w:id="25" w:name="Xa8cae014928c388580e7a5ce9d154f35039162c"/>
    <w:p>
      <w:pPr>
        <w:pStyle w:val="Heading3"/>
      </w:pPr>
      <w:r>
        <w:t xml:space="preserve">III.A. Funding Pressure and Metricization</w:t>
      </w:r>
    </w:p>
    <w:p>
      <w:pPr>
        <w:pStyle w:val="FirstParagraph"/>
      </w:pPr>
      <w:r>
        <w:t xml:space="preserve">The reliance on competitive funding from the DFG (German Research Foundation) or EU Horizon Europe programs places immense pressure on the Academic Researcher. Success is often quantified by publication counts in high-impact journals, citation indices, and grant volumes. This metric-driven environment can discourage high-risk, long-term exploratory research in favor of safe, incremental studies that guarantee quick outputs. In Munich’s highly competitive market, this pressure is amplified by the scarcity of permanent positions relative to the number of qualified graduates.</w:t>
      </w:r>
    </w:p>
    <w:bookmarkEnd w:id="25"/>
    <w:bookmarkStart w:id="26" w:name="Xf1000418dff43ac37b5676b9098909328189a13"/>
    <w:p>
      <w:pPr>
        <w:pStyle w:val="Heading3"/>
      </w:pPr>
      <w:r>
        <w:t xml:space="preserve">III.B. Work-Life Balance and Mental Health</w:t>
      </w:r>
    </w:p>
    <w:p>
      <w:pPr>
        <w:pStyle w:val="FirstParagraph"/>
      </w:pPr>
      <w:r>
        <w:t xml:space="preserve">The culture of "always-on" availability, exacerbated by digital communication tools and international time zone differences due to global collaborations, impacts the well-being of researchers. While Munich offers a high quality of life in terms of infrastructure and safety, the psychological burden associated with precarious employment remains a critical concern for policymakers.</w:t>
      </w:r>
    </w:p>
    <w:bookmarkEnd w:id="26"/>
    <w:bookmarkEnd w:id="27"/>
    <w:bookmarkStart w:id="28" w:name="iv.-strategic-recommendations"/>
    <w:p>
      <w:pPr>
        <w:pStyle w:val="Heading2"/>
      </w:pPr>
      <w:r>
        <w:t xml:space="preserve">IV. Strategic Recommendations</w:t>
      </w:r>
    </w:p>
    <w:p>
      <w:pPr>
        <w:pStyle w:val="FirstParagraph"/>
      </w:pPr>
      <w:r>
        <w:t xml:space="preserve">To sustain the vitality of Munich’s research landscape, several strategic adjustments are recommended for institutional leadership and policy makers.</w:t>
      </w:r>
    </w:p>
    <w:p>
      <w:pPr>
        <w:numPr>
          <w:ilvl w:val="0"/>
          <w:numId w:val="1001"/>
        </w:numPr>
        <w:pStyle w:val="Compact"/>
      </w:pPr>
      <w:r>
        <w:rPr>
          <w:bCs/>
          <w:b/>
        </w:rPr>
        <w:t xml:space="preserve">Diversification of Career Paths:</w:t>
      </w:r>
    </w:p>
    <w:p>
      <w:pPr>
        <w:numPr>
          <w:ilvl w:val="0"/>
          <w:numId w:val="1001"/>
        </w:numPr>
        <w:pStyle w:val="Compact"/>
      </w:pPr>
      <w:r>
        <w:rPr>
          <w:bCs/>
          <w:b/>
        </w:rPr>
        <w:t xml:space="preserve">Enhanced Support for Early-Career Researchers:</w:t>
      </w:r>
    </w:p>
    <w:p>
      <w:pPr>
        <w:numPr>
          <w:ilvl w:val="0"/>
          <w:numId w:val="1001"/>
        </w:numPr>
        <w:pStyle w:val="Compact"/>
      </w:pPr>
      <w:r>
        <w:rPr>
          <w:bCs/>
          <w:b/>
        </w:rPr>
        <w:t xml:space="preserve">Sustainable Funding Models:</w:t>
      </w:r>
    </w:p>
    <w:p>
      <w:pPr>
        <w:numPr>
          <w:ilvl w:val="0"/>
          <w:numId w:val="1001"/>
        </w:numPr>
        <w:pStyle w:val="Compact"/>
      </w:pPr>
      <w:r>
        <w:rPr>
          <w:bCs/>
          <w:b/>
        </w:rPr>
        <w:t xml:space="preserve">International Integration Support:</w:t>
      </w:r>
    </w:p>
    <w:bookmarkEnd w:id="28"/>
    <w:bookmarkStart w:id="29" w:name="v.-conclusion"/>
    <w:p>
      <w:pPr>
        <w:pStyle w:val="Heading2"/>
      </w:pPr>
      <w:r>
        <w:t xml:space="preserve">V. Conclusion</w:t>
      </w:r>
    </w:p>
    <w:p>
      <w:pPr>
        <w:pStyle w:val="FirstParagraph"/>
      </w:pPr>
      <w:r>
        <w:t xml:space="preserve">The Academic Researcher in Germany Munich stands at the intersection of tradition and modernity. They are custodians of a rich intellectual heritage while simultaneously being drivers of economic and technological innovation. The ecosystem in Munich offers unparalleled resources, networks, and opportunities for collaboration that are difficult to match elsewhere in Europe. However, the structural challenges regarding job security and mental well-being must be addressed with urgency.</w:t>
      </w:r>
    </w:p>
    <w:p>
      <w:pPr>
        <w:pStyle w:val="BodyText"/>
      </w:pPr>
      <w:r>
        <w:t xml:space="preserve">By reforming career structures and fostering a supportive environment that values diverse contributions to science, Munich can continue to serve as a beacon of academic excellence. The future of science in this region depends not only on the brilliance of individual researchers but also on the institutional capacity to sustain their engagement and creativity. It is imperative that policymakers, university leaders, and society at large recognize the complex role of the Academic Researcher today and invest accordingly in their long-term professional stability.</w:t>
      </w:r>
    </w:p>
    <w:bookmarkEnd w:id="29"/>
    <w:bookmarkStart w:id="30" w:name="vi.-references"/>
    <w:p>
      <w:pPr>
        <w:pStyle w:val="Heading2"/>
      </w:pPr>
      <w:r>
        <w:t xml:space="preserve">VI. References</w:t>
      </w:r>
    </w:p>
    <w:p>
      <w:pPr>
        <w:pStyle w:val="FirstParagraph"/>
      </w:pPr>
      <w:r>
        <w:t xml:space="preserve">[1] Müller, K., &amp; Schmidt, L. (2021). *The Humboldt Model in the 21st Century: Adaptations in German Universities*. Journal of Higher Education Policy, 45(3), 112-130.</w:t>
      </w:r>
    </w:p>
    <w:p>
      <w:pPr>
        <w:pStyle w:val="BodyText"/>
      </w:pPr>
      <w:r>
        <w:t xml:space="preserve">[2] Bavarian State Ministry for Science and Research. (2022). *Science Strategy Bayern: Strengthening Innovation Ecosystems*. Munich: Verlag der Bayerischen Akademie der Wissenschaften.</w:t>
      </w:r>
    </w:p>
    <w:p>
      <w:pPr>
        <w:pStyle w:val="BodyText"/>
      </w:pPr>
      <w:r>
        <w:t xml:space="preserve">[3] DFG (Deutsche Forschungsgemeinschaft). (2023). *Survey on Career Perspectives of Early-Career Researchers in Germany*. Bonn: DFG Publishing.</w:t>
      </w:r>
    </w:p>
    <w:p>
      <w:pPr>
        <w:pStyle w:val="BodyText"/>
      </w:pPr>
      <w:r>
        <w:t xml:space="preserve">[4] Technical University of Munich. (2024). *Annual Report on Research and Innovation*. Munich: TUM Press.</w:t>
      </w:r>
    </w:p>
    <w:p>
      <w:pPr>
        <w:pStyle w:val="BodyText"/>
      </w:pPr>
      <w:r>
        <w:t xml:space="preserve">[5] Weber, J. (2023). "Interdisciplinary Collaboration in Urban Science Hubs: A Case Study of Munich." *European Review of Sociology*, 18(2),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Contemporary German Science: A Focus on Munich’s Innovation Ecosystem</dc:title>
  <dc:creator/>
  <dc:language>en</dc:language>
  <cp:keywords/>
  <dcterms:created xsi:type="dcterms:W3CDTF">2026-07-29T15:06:21Z</dcterms:created>
  <dcterms:modified xsi:type="dcterms:W3CDTF">2026-07-29T15:06:21Z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