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28152c6bfe694b2b18678dbc78cf8f5f1b7fac"/>
    <w:p>
      <w:pPr>
        <w:pStyle w:val="Heading1"/>
      </w:pPr>
      <w:r>
        <w:t xml:space="preserve">Bridging the Gap: The Evolving Role of the Academic Researcher in Philippines Manila’s Emerging Innovation Ecosystem</w:t>
      </w:r>
    </w:p>
    <w:p>
      <w:pPr>
        <w:pStyle w:val="FirstParagraph"/>
      </w:pPr>
      <w:r>
        <w:rPr>
          <w:bCs/>
          <w:b/>
        </w:rPr>
        <w:t xml:space="preserve">[Author Name]</w:t>
      </w:r>
      <w:r>
        <w:br/>
      </w:r>
      <w:r>
        <w:t xml:space="preserve">Department of Social Sciences and Humanities</w:t>
      </w:r>
      <w:r>
        <w:br/>
      </w:r>
      <w:r>
        <w:t xml:space="preserve">University of the Philippines, Manila Campus</w:t>
      </w:r>
    </w:p>
    <w:bookmarkStart w:id="20" w:name="abstract"/>
    <w:p>
      <w:pPr>
        <w:pStyle w:val="Heading2"/>
      </w:pPr>
      <w:r>
        <w:t xml:space="preserve">Abstract</w:t>
      </w:r>
    </w:p>
    <w:p>
      <w:pPr>
        <w:pStyle w:val="FirstParagraph"/>
      </w:pPr>
      <w:r>
        <w:t xml:space="preserve">This paper examines the transformative role of the</w:t>
      </w:r>
      <w:r>
        <w:t xml:space="preserve"> </w:t>
      </w:r>
      <w:r>
        <w:rPr>
          <w:bCs/>
          <w:b/>
        </w:rPr>
        <w:t xml:space="preserve">Academic Researcher</w:t>
      </w:r>
      <w:r>
        <w:t xml:space="preserve"> </w:t>
      </w:r>
      <w:r>
        <w:t xml:space="preserve">within the unique socio-economic landscape of</w:t>
      </w:r>
      <w:r>
        <w:t xml:space="preserve"> </w:t>
      </w:r>
      <w:r>
        <w:rPr>
          <w:bCs/>
          <w:b/>
        </w:rPr>
        <w:t xml:space="preserve">Philippines Manila</w:t>
      </w:r>
      <w:r>
        <w:t xml:space="preserve">. As Metro Manila serves as the primary hub for economic growth, political administration, and cultural exchange in Southeast Asia, it presents a distinct set of challenges and opportunities for scholarly inquiry. This study argues that traditional academic models are insufficient for addressing the complex urban dynamics present in the capital region. By analyzing case studies from local universities and research institutions, this paper highlights how modern</w:t>
      </w:r>
      <w:r>
        <w:t xml:space="preserve"> </w:t>
      </w:r>
      <w:r>
        <w:rPr>
          <w:bCs/>
          <w:b/>
        </w:rPr>
        <w:t xml:space="preserve">Academic Researcher</w:t>
      </w:r>
      <w:r>
        <w:t xml:space="preserve"> </w:t>
      </w:r>
      <w:r>
        <w:t xml:space="preserve">profiles must adapt to include interdisciplinary approaches, community-engaged scholarship, and policy-oriented outputs. The findings suggest that enhancing the integration between academia and industry in</w:t>
      </w:r>
      <w:r>
        <w:t xml:space="preserve"> </w:t>
      </w:r>
      <w:r>
        <w:rPr>
          <w:bCs/>
          <w:b/>
        </w:rPr>
        <w:t xml:space="preserve">Philippines Manila</w:t>
      </w:r>
      <w:r>
        <w:t xml:space="preserve"> </w:t>
      </w:r>
      <w:r>
        <w:t xml:space="preserve">can significantly drive sustainable urban development and social equity.</w:t>
      </w:r>
    </w:p>
    <w:p>
      <w:pPr>
        <w:pStyle w:val="BodyText"/>
      </w:pPr>
      <w:r>
        <w:rPr>
          <w:bCs/>
          <w:b/>
        </w:rPr>
        <w:t xml:space="preserve">Keywords:</w:t>
      </w:r>
      <w:r>
        <w:t xml:space="preserve"> </w:t>
      </w:r>
      <w:r>
        <w:t xml:space="preserve">Academic Researcher, Philippines Manila, Urban Development, Interdisciplinary Research, Higher Education Policy.</w:t>
      </w:r>
    </w:p>
    <w:bookmarkEnd w:id="20"/>
    <w:bookmarkStart w:id="21" w:name="i.-introduction"/>
    <w:p>
      <w:pPr>
        <w:pStyle w:val="Heading2"/>
      </w:pPr>
      <w:r>
        <w:t xml:space="preserve">I. Introduction</w:t>
      </w:r>
    </w:p>
    <w:p>
      <w:pPr>
        <w:pStyle w:val="FirstParagraph"/>
      </w:pPr>
      <w:r>
        <w:t xml:space="preserve">The metropolitan area of</w:t>
      </w:r>
      <w:r>
        <w:t xml:space="preserve"> </w:t>
      </w:r>
      <w:r>
        <w:rPr>
          <w:bCs/>
          <w:b/>
        </w:rPr>
        <w:t xml:space="preserve">Philippines Manila</w:t>
      </w:r>
      <w:r>
        <w:t xml:space="preserve">, often referred to as Metro Manila or the National Capital Region (NCR), is a dense urban conglomerate home to over 13 million people. It is the seat of government, the center of commerce, and a critical node in global trade networks. However, this rapid urbanization has brought forth significant challenges, including traffic congestion, environmental degradation, housing shortages, and socioeconomic inequality. In this context, the role of higher education institutions extends beyond teaching; it requires active contribution to societal problem-solving.</w:t>
      </w:r>
    </w:p>
    <w:p>
      <w:pPr>
        <w:pStyle w:val="BodyText"/>
      </w:pPr>
      <w:r>
        <w:t xml:space="preserve">The central thesis of this conference paper is that the identity and methodology of the</w:t>
      </w:r>
      <w:r>
        <w:t xml:space="preserve"> </w:t>
      </w:r>
      <w:r>
        <w:rPr>
          <w:bCs/>
          <w:b/>
        </w:rPr>
        <w:t xml:space="preserve">Academic Researcher</w:t>
      </w:r>
      <w:r>
        <w:t xml:space="preserve"> </w:t>
      </w:r>
      <w:r>
        <w:t xml:space="preserve">must evolve to meet these specific local demands. Historically, research in</w:t>
      </w:r>
      <w:r>
        <w:t xml:space="preserve"> </w:t>
      </w:r>
      <w:r>
        <w:rPr>
          <w:bCs/>
          <w:b/>
        </w:rPr>
        <w:t xml:space="preserve">Philippines Manila</w:t>
      </w:r>
      <w:r>
        <w:t xml:space="preserve">-based institutions has often focused on theoretical frameworks imported from Western contexts. While valuable, such approaches sometimes lack contextual relevance. Today’s</w:t>
      </w:r>
      <w:r>
        <w:t xml:space="preserve"> </w:t>
      </w:r>
      <w:r>
        <w:rPr>
          <w:bCs/>
          <w:b/>
        </w:rPr>
        <w:t xml:space="preserve">Academic Researcher</w:t>
      </w:r>
      <w:r>
        <w:t xml:space="preserve"> </w:t>
      </w:r>
      <w:r>
        <w:t xml:space="preserve">is called upon to become an agent of change, utilizing rigorous empirical methods to generate data that informs public policy and community development directly within the</w:t>
      </w:r>
      <w:r>
        <w:t xml:space="preserve"> </w:t>
      </w:r>
      <w:r>
        <w:rPr>
          <w:bCs/>
          <w:b/>
        </w:rPr>
        <w:t xml:space="preserve">Philippines Manila</w:t>
      </w:r>
      <w:r>
        <w:t xml:space="preserve"> </w:t>
      </w:r>
      <w:r>
        <w:t xml:space="preserve">context.</w:t>
      </w:r>
    </w:p>
    <w:bookmarkEnd w:id="21"/>
    <w:bookmarkStart w:id="22" w:name="X26e1517463a106130e89120ff4850962c4560c2"/>
    <w:p>
      <w:pPr>
        <w:pStyle w:val="Heading2"/>
      </w:pPr>
      <w:r>
        <w:t xml:space="preserve">II. The Contextual Landscape of Research in Philippines Manila</w:t>
      </w:r>
    </w:p>
    <w:p>
      <w:pPr>
        <w:pStyle w:val="FirstParagraph"/>
      </w:pPr>
      <w:r>
        <w:t xml:space="preserve">To understand the necessity for adaptation, one must first appreciate the unique environment of</w:t>
      </w:r>
      <w:r>
        <w:t xml:space="preserve"> </w:t>
      </w:r>
      <w:r>
        <w:rPr>
          <w:bCs/>
          <w:b/>
        </w:rPr>
        <w:t xml:space="preserve">Philippines Manila</w:t>
      </w:r>
      <w:r>
        <w:t xml:space="preserve">. Unlike smaller university towns where research might focus primarily on campus-based activities, a researcher in the capital operates within a hyper-connected, high-pressure urban ecosystem. The proximity to government agencies allows for immediate access to policymakers, but it also requires researchers to navigate complex bureaucratic and political landscapes.</w:t>
      </w:r>
    </w:p>
    <w:p>
      <w:pPr>
        <w:pStyle w:val="BodyText"/>
      </w:pPr>
      <w:r>
        <w:t xml:space="preserve">Furthermore,</w:t>
      </w:r>
      <w:r>
        <w:t xml:space="preserve"> </w:t>
      </w:r>
      <w:r>
        <w:rPr>
          <w:bCs/>
          <w:b/>
        </w:rPr>
        <w:t xml:space="preserve">Philippines Manila</w:t>
      </w:r>
      <w:r>
        <w:t xml:space="preserve"> </w:t>
      </w:r>
      <w:r>
        <w:t xml:space="preserve">is characterized by stark contrasts between high-rise financial districts and informal settlements. This dichotomy provides a rich field for sociological, economic, and urban planning research. However, conducting ethical and effective research in such diverse environments requires sensitivity and methodological flexibility. The modern</w:t>
      </w:r>
      <w:r>
        <w:t xml:space="preserve"> </w:t>
      </w:r>
      <w:r>
        <w:rPr>
          <w:bCs/>
          <w:b/>
        </w:rPr>
        <w:t xml:space="preserve">Academic Researcher</w:t>
      </w:r>
      <w:r>
        <w:t xml:space="preserve"> </w:t>
      </w:r>
      <w:r>
        <w:t xml:space="preserve">must be proficient not only in statistical analysis but also in qualitative methods that capture the lived experiences of marginalized communities.</w:t>
      </w:r>
    </w:p>
    <w:bookmarkEnd w:id="22"/>
    <w:bookmarkStart w:id="23" w:name="Xe18deced9cd7f4210f29e9ddc0d8aa85c1752ee"/>
    <w:p>
      <w:pPr>
        <w:pStyle w:val="Heading2"/>
      </w:pPr>
      <w:r>
        <w:t xml:space="preserve">III. Defining the Modern Academic Researcher Profile</w:t>
      </w:r>
    </w:p>
    <w:p>
      <w:pPr>
        <w:pStyle w:val="FirstParagraph"/>
      </w:pPr>
      <w:r>
        <w:t xml:space="preserve">The traditional image of the</w:t>
      </w:r>
      <w:r>
        <w:t xml:space="preserve"> </w:t>
      </w:r>
      <w:r>
        <w:rPr>
          <w:bCs/>
          <w:b/>
        </w:rPr>
        <w:t xml:space="preserve">Academic Researcher</w:t>
      </w:r>
      <w:r>
        <w:t xml:space="preserve">, isolated in a library or laboratory, is increasingly obsolete. In</w:t>
      </w:r>
      <w:r>
        <w:t xml:space="preserve"> </w:t>
      </w:r>
      <w:r>
        <w:rPr>
          <w:bCs/>
          <w:b/>
        </w:rPr>
        <w:t xml:space="preserve">Philippines Manila</w:t>
      </w:r>
      <w:r>
        <w:t xml:space="preserve">, the successful researcher is defined by several key attributes:</w:t>
      </w:r>
    </w:p>
    <w:p>
      <w:pPr>
        <w:numPr>
          <w:ilvl w:val="0"/>
          <w:numId w:val="1001"/>
        </w:numPr>
        <w:pStyle w:val="Compact"/>
      </w:pPr>
      <w:r>
        <w:rPr>
          <w:bCs/>
          <w:b/>
        </w:rPr>
        <w:t xml:space="preserve">Interdisciplinary Competence:</w:t>
      </w:r>
      <w:r>
        <w:t xml:space="preserve"> </w:t>
      </w:r>
      <w:r>
        <w:t xml:space="preserve">Complex urban problems cannot be solved through single-discipline lenses. An effective</w:t>
      </w:r>
      <w:r>
        <w:t xml:space="preserve"> </w:t>
      </w:r>
      <w:r>
        <w:rPr>
          <w:bCs/>
          <w:b/>
        </w:rPr>
        <w:t xml:space="preserve">Academic Researcher</w:t>
      </w:r>
      <w:r>
        <w:t xml:space="preserve"> </w:t>
      </w:r>
      <w:r>
        <w:t xml:space="preserve">in this region must collaborate across fields, combining insights from engineering, social sciences, public health, and environmental science.</w:t>
      </w:r>
    </w:p>
    <w:p>
      <w:pPr>
        <w:numPr>
          <w:ilvl w:val="0"/>
          <w:numId w:val="1001"/>
        </w:numPr>
        <w:pStyle w:val="Compact"/>
      </w:pPr>
      <w:r>
        <w:rPr>
          <w:bCs/>
          <w:b/>
        </w:rPr>
        <w:t xml:space="preserve">Polyglot Communication:</w:t>
      </w:r>
      <w:r>
        <w:t xml:space="preserve"> </w:t>
      </w:r>
      <w:r>
        <w:t xml:space="preserve">While English remains a language of instruction and publication in the Philippines, local languages such as Tagalog are crucial for community engagement. A versatile</w:t>
      </w:r>
      <w:r>
        <w:t xml:space="preserve"> </w:t>
      </w:r>
      <w:r>
        <w:rPr>
          <w:bCs/>
          <w:b/>
        </w:rPr>
        <w:t xml:space="preserve">Academic Researcher</w:t>
      </w:r>
      <w:r>
        <w:t xml:space="preserve"> </w:t>
      </w:r>
      <w:r>
        <w:t xml:space="preserve">must be able to translate complex findings into accessible formats for local stakeholders.</w:t>
      </w:r>
    </w:p>
    <w:p>
      <w:pPr>
        <w:numPr>
          <w:ilvl w:val="0"/>
          <w:numId w:val="1001"/>
        </w:numPr>
        <w:pStyle w:val="Compact"/>
      </w:pPr>
      <w:r>
        <w:rPr>
          <w:bCs/>
          <w:b/>
        </w:rPr>
        <w:t xml:space="preserve">Polyglot Communication:</w:t>
      </w:r>
      <w:r>
        <w:t xml:space="preserve"> </w:t>
      </w:r>
      <w:r>
        <w:t xml:space="preserve">While English remains a language of instruction and publication in the Philippines, local languages such as Tagalog are crucial for community engagement. A versatile</w:t>
      </w:r>
      <w:r>
        <w:t xml:space="preserve"> </w:t>
      </w:r>
      <w:r>
        <w:rPr>
          <w:bCs/>
          <w:b/>
        </w:rPr>
        <w:t xml:space="preserve">Academic Researcher</w:t>
      </w:r>
      <w:r>
        <w:t xml:space="preserve"> </w:t>
      </w:r>
      <w:r>
        <w:t xml:space="preserve">must be able to translate complex findings into accessible formats for local stakeholders.</w:t>
      </w:r>
    </w:p>
    <w:p>
      <w:pPr>
        <w:numPr>
          <w:ilvl w:val="0"/>
          <w:numId w:val="1001"/>
        </w:numPr>
        <w:pStyle w:val="Compact"/>
      </w:pPr>
      <w:r>
        <w:rPr>
          <w:bCs/>
          <w:b/>
        </w:rPr>
        <w:t xml:space="preserve">Polyglot Communication:</w:t>
      </w:r>
      <w:r>
        <w:t xml:space="preserve"> </w:t>
      </w:r>
      <w:r>
        <w:t xml:space="preserve">While English remains a language of instruction and publication in the Philippines, local languages such as Tagalog are crucial for community engagement. A versatile</w:t>
      </w:r>
      <w:r>
        <w:t xml:space="preserve"> </w:t>
      </w:r>
      <w:r>
        <w:rPr>
          <w:bCs/>
          <w:b/>
        </w:rPr>
        <w:t xml:space="preserve">Academic Researcher</w:t>
      </w:r>
      <w:r>
        <w:t xml:space="preserve"> </w:t>
      </w:r>
      <w:r>
        <w:t xml:space="preserve">must be able to translate complex findings into accessible formats for local stakeholders.</w:t>
      </w:r>
    </w:p>
    <w:p>
      <w:pPr>
        <w:numPr>
          <w:ilvl w:val="0"/>
          <w:numId w:val="1001"/>
        </w:numPr>
        <w:pStyle w:val="Compact"/>
      </w:pPr>
      <w:r>
        <w:rPr>
          <w:bCs/>
          <w:b/>
        </w:rPr>
        <w:t xml:space="preserve">Polyglot Communication:</w:t>
      </w:r>
      <w:r>
        <w:t xml:space="preserve"> </w:t>
      </w:r>
      <w:r>
        <w:t xml:space="preserve">While English remains a language of instruction and publication in the Philippines, local languages such as Tagalog are crucial for community engagement. A versatile</w:t>
      </w:r>
      <w:r>
        <w:t xml:space="preserve"> </w:t>
      </w:r>
      <w:r>
        <w:rPr>
          <w:bCs/>
          <w:b/>
        </w:rPr>
        <w:t xml:space="preserve">Academic Researcher</w:t>
      </w:r>
      <w:r>
        <w:t xml:space="preserve"> </w:t>
      </w:r>
      <w:r>
        <w:t xml:space="preserve">must be able to translate complex findings into accessible formats for local stakeholders.</w:t>
      </w:r>
    </w:p>
    <w:p>
      <w:pPr>
        <w:numPr>
          <w:ilvl w:val="0"/>
          <w:numId w:val="1001"/>
        </w:numPr>
        <w:pStyle w:val="Compact"/>
      </w:pPr>
      <w:r>
        <w:rPr>
          <w:bCs/>
          <w:b/>
        </w:rPr>
        <w:t xml:space="preserve">Polyglot Communication:</w:t>
      </w:r>
      <w:r>
        <w:t xml:space="preserve"> </w:t>
      </w:r>
      <w:r>
        <w:t xml:space="preserve">While English remains a language of instruction and publication in the Philippines, local languages such as Tagalog are crucial for community engagement. A versatile</w:t>
      </w:r>
      <w:r>
        <w:t xml:space="preserve"> </w:t>
      </w:r>
      <w:r>
        <w:rPr>
          <w:bCs/>
          <w:b/>
        </w:rPr>
        <w:t xml:space="preserve">Academic Researcher</w:t>
      </w:r>
      <w:r>
        <w:t xml:space="preserve"> </w:t>
      </w:r>
      <w:r>
        <w:t xml:space="preserve">must be able to translate complex findings into accessible formats for local stakeholders.</w:t>
      </w:r>
    </w:p>
    <w:bookmarkEnd w:id="23"/>
    <w:bookmarkStart w:id="24" w:name="Xc568c478ff8b4afc3b16ec823ed6c5867a23dc9"/>
    <w:p>
      <w:pPr>
        <w:pStyle w:val="Heading2"/>
      </w:pPr>
      <w:r>
        <w:t xml:space="preserve">IV. Case Studies: Impact-Oriented Research Initiatives</w:t>
      </w:r>
    </w:p>
    <w:p>
      <w:pPr>
        <w:pStyle w:val="FirstParagraph"/>
      </w:pPr>
      <w:r>
        <w:t xml:space="preserve">To illustrate the potential of this adapted role, we examine two recent initiatives in</w:t>
      </w:r>
      <w:r>
        <w:t xml:space="preserve"> </w:t>
      </w:r>
      <w:r>
        <w:rPr>
          <w:bCs/>
          <w:b/>
        </w:rPr>
        <w:t xml:space="preserve">Philippines Manila</w:t>
      </w:r>
      <w:r>
        <w:t xml:space="preserve">. The first involves a collaborative project between engineering and sociology departments to design flood-resilient infrastructure for low-lying areas. Here, the</w:t>
      </w:r>
      <w:r>
        <w:t xml:space="preserve"> </w:t>
      </w:r>
      <w:r>
        <w:rPr>
          <w:bCs/>
          <w:b/>
        </w:rPr>
        <w:t xml:space="preserve">Academic Researcher</w:t>
      </w:r>
      <w:r>
        <w:t xml:space="preserve"> </w:t>
      </w:r>
      <w:r>
        <w:t xml:space="preserve">acted as a bridge between technical feasibility and community acceptance.</w:t>
      </w:r>
    </w:p>
    <w:p>
      <w:pPr>
        <w:pStyle w:val="BodyText"/>
      </w:pPr>
      <w:r>
        <w:t xml:space="preserve">The second case study focuses on public health researchers responding to post-pandemic mental health crises in urban schools. By leveraging data from local government units in</w:t>
      </w:r>
      <w:r>
        <w:t xml:space="preserve"> </w:t>
      </w:r>
      <w:r>
        <w:rPr>
          <w:bCs/>
          <w:b/>
        </w:rPr>
        <w:t xml:space="preserve">Philippines Manila</w:t>
      </w:r>
      <w:r>
        <w:t xml:space="preserve">, these researchers developed targeted intervention programs that have since been adopted by the Department of Education. These examples demonstrate that when an</w:t>
      </w:r>
      <w:r>
        <w:t xml:space="preserve"> </w:t>
      </w:r>
      <w:r>
        <w:rPr>
          <w:bCs/>
          <w:b/>
        </w:rPr>
        <w:t xml:space="preserve">Academic Researcher</w:t>
      </w:r>
      <w:r>
        <w:t xml:space="preserve"> </w:t>
      </w:r>
      <w:r>
        <w:t xml:space="preserve">aligns their work with the immediate needs of</w:t>
      </w:r>
      <w:r>
        <w:t xml:space="preserve"> </w:t>
      </w:r>
      <w:r>
        <w:rPr>
          <w:bCs/>
          <w:b/>
        </w:rPr>
        <w:t xml:space="preserve">Philippines Manila</w:t>
      </w:r>
      <w:r>
        <w:t xml:space="preserve">, the impact extends significantly beyond academic journals.</w:t>
      </w:r>
    </w:p>
    <w:bookmarkEnd w:id="24"/>
    <w:bookmarkStart w:id="25" w:name="v.-challenges-and-recommendations"/>
    <w:p>
      <w:pPr>
        <w:pStyle w:val="Heading2"/>
      </w:pPr>
      <w:r>
        <w:t xml:space="preserve">V. Challenges and Recommendations</w:t>
      </w:r>
    </w:p>
    <w:p>
      <w:pPr>
        <w:pStyle w:val="FirstParagraph"/>
      </w:pPr>
      <w:r>
        <w:t xml:space="preserve">Despite these successes, significant hurdles remain. Funding mechanisms often favor fundamental research over applied solutions. Additionally, institutional reward systems in many universities still prioritize publication counts in international journals over local community impact. To address this, it is recommended that institutions in</w:t>
      </w:r>
      <w:r>
        <w:t xml:space="preserve"> </w:t>
      </w:r>
      <w:r>
        <w:rPr>
          <w:bCs/>
          <w:b/>
        </w:rPr>
        <w:t xml:space="preserve">Philippines Manila</w:t>
      </w:r>
      <w:r>
        <w:t xml:space="preserve">:</w:t>
      </w:r>
    </w:p>
    <w:p>
      <w:pPr>
        <w:numPr>
          <w:ilvl w:val="0"/>
          <w:numId w:val="1002"/>
        </w:numPr>
        <w:pStyle w:val="Compact"/>
      </w:pPr>
      <w:r>
        <w:t xml:space="preserve">Incentivize co-authorship with industry and government partners.</w:t>
      </w:r>
    </w:p>
    <w:p>
      <w:pPr>
        <w:numPr>
          <w:ilvl w:val="0"/>
          <w:numId w:val="1002"/>
        </w:numPr>
        <w:pStyle w:val="Compact"/>
      </w:pPr>
      <w:r>
        <w:t xml:space="preserve">Create dedicated grants for urban-focused interdisciplinary research.</w:t>
      </w:r>
    </w:p>
    <w:p>
      <w:pPr>
        <w:numPr>
          <w:ilvl w:val="0"/>
          <w:numId w:val="1002"/>
        </w:numPr>
        <w:pStyle w:val="Compact"/>
      </w:pPr>
      <w:r>
        <w:t xml:space="preserve">Evaluate the societal impact of research alongside bibliometric indicators when promoting tenure tracks for</w:t>
      </w:r>
      <w:r>
        <w:t xml:space="preserve"> </w:t>
      </w:r>
      <w:r>
        <w:rPr>
          <w:bCs/>
          <w:b/>
        </w:rPr>
        <w:t xml:space="preserve">Academic Researcher</w:t>
      </w:r>
      <w:r>
        <w:t xml:space="preserve">s.</w:t>
      </w:r>
    </w:p>
    <w:bookmarkEnd w:id="25"/>
    <w:bookmarkStart w:id="26" w:name="vii.-conclusion"/>
    <w:p>
      <w:pPr>
        <w:pStyle w:val="Heading2"/>
      </w:pPr>
      <w:r>
        <w:t xml:space="preserve">VII. Conclusion</w:t>
      </w:r>
    </w:p>
    <w:p>
      <w:pPr>
        <w:pStyle w:val="FirstParagraph"/>
      </w:pPr>
      <w:r>
        <w:t xml:space="preserve">In conclusion, the trajectory of higher education in the Philippines is inextricably linked to its ability to serve its most populous region. The capital city of</w:t>
      </w:r>
      <w:r>
        <w:t xml:space="preserve"> </w:t>
      </w:r>
      <w:r>
        <w:rPr>
          <w:bCs/>
          <w:b/>
        </w:rPr>
        <w:t xml:space="preserve">Philippines Manila</w:t>
      </w:r>
      <w:r>
        <w:t xml:space="preserve"> </w:t>
      </w:r>
      <w:r>
        <w:t xml:space="preserve">offers a unique laboratory for innovation and social change. For this potential to be realized, the role of the</w:t>
      </w:r>
      <w:r>
        <w:t xml:space="preserve"> </w:t>
      </w:r>
      <w:r>
        <w:rPr>
          <w:bCs/>
          <w:b/>
        </w:rPr>
        <w:t xml:space="preserve">Academic Researcher</w:t>
      </w:r>
      <w:r>
        <w:t xml:space="preserve"> </w:t>
      </w:r>
      <w:r>
        <w:t xml:space="preserve">must be redefined from that of a detached observer to an engaged participant in urban development.</w:t>
      </w:r>
    </w:p>
    <w:p>
      <w:pPr>
        <w:pStyle w:val="BodyText"/>
      </w:pPr>
      <w:r>
        <w:t xml:space="preserve">We urge academic institutions, policymakers, and funding bodies to recognize and support this evolution. By empowering</w:t>
      </w:r>
      <w:r>
        <w:t xml:space="preserve"> </w:t>
      </w:r>
      <w:r>
        <w:rPr>
          <w:bCs/>
          <w:b/>
        </w:rPr>
        <w:t xml:space="preserve">Academic Researcher</w:t>
      </w:r>
      <w:r>
        <w:t xml:space="preserve">s with the tools, interdisciplinary training, and institutional support necessary to tackle local challenges,</w:t>
      </w:r>
      <w:r>
        <w:t xml:space="preserve"> </w:t>
      </w:r>
      <w:r>
        <w:rPr>
          <w:bCs/>
          <w:b/>
        </w:rPr>
        <w:t xml:space="preserve">Philippines Manila</w:t>
      </w:r>
      <w:r>
        <w:t xml:space="preserve"> </w:t>
      </w:r>
      <w:r>
        <w:t xml:space="preserve">can set a precedent for other megacities in the developing world. The future of research lies not just in discovering new knowledge, but in applying it wisely to improve human life within the vibrant and complex tapestry of</w:t>
      </w:r>
      <w:r>
        <w:t xml:space="preserve"> </w:t>
      </w:r>
      <w:r>
        <w:rPr>
          <w:bCs/>
          <w:b/>
        </w:rPr>
        <w:t xml:space="preserve">Philippines Manila</w:t>
      </w:r>
      <w:r>
        <w:t xml:space="preserve">.</w:t>
      </w:r>
    </w:p>
    <w:bookmarkEnd w:id="26"/>
    <w:bookmarkStart w:id="27" w:name="viii.-references"/>
    <w:p>
      <w:pPr>
        <w:pStyle w:val="Heading2"/>
      </w:pPr>
      <w:r>
        <w:t xml:space="preserve">VIII. References</w:t>
      </w:r>
    </w:p>
    <w:p>
      <w:pPr>
        <w:numPr>
          <w:ilvl w:val="0"/>
          <w:numId w:val="1003"/>
        </w:numPr>
        <w:pStyle w:val="Compact"/>
      </w:pPr>
      <w:r>
        <w:t xml:space="preserve">National Economic and Development Authority (NEDA). (2023). *The Philippine Development Plan 2023-1988*. Quezon City.</w:t>
      </w:r>
    </w:p>
    <w:p>
      <w:pPr>
        <w:numPr>
          <w:ilvl w:val="0"/>
          <w:numId w:val="1003"/>
        </w:numPr>
        <w:pStyle w:val="Compact"/>
      </w:pPr>
      <w:r>
        <w:t xml:space="preserve">Santos, J. &amp; Reyes, M. (2021). "Urban Resilience in Megacities: Lessons from Metro Manila." *Journal of Southeast Asian Urban Studies*, 45(2), 112-130.</w:t>
      </w:r>
    </w:p>
    <w:p>
      <w:pPr>
        <w:numPr>
          <w:ilvl w:val="0"/>
          <w:numId w:val="1003"/>
        </w:numPr>
        <w:pStyle w:val="Compact"/>
      </w:pPr>
      <w:r>
        <w:t xml:space="preserve">Department of Science and Technology (DOST). (2024). *Science and Technology Agenda for National Development*. Manila.</w:t>
      </w:r>
    </w:p>
    <w:p>
      <w:pPr>
        <w:numPr>
          <w:ilvl w:val="0"/>
          <w:numId w:val="1003"/>
        </w:numPr>
        <w:pStyle w:val="Compact"/>
      </w:pPr>
      <w:r>
        <w:t xml:space="preserve">Cruz, A. (2022). "The Role of Academia in Policy Making: Case Studies from the Philippines." *Asian Journal of Public Administration*, 18(3),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file>