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w:t>
      </w:r>
      <w:r>
        <w:t xml:space="preserve"> </w:t>
      </w:r>
      <w:r>
        <w:t xml:space="preserve">Regional</w:t>
      </w:r>
      <w:r>
        <w:t xml:space="preserve"> </w:t>
      </w:r>
      <w:r>
        <w:t xml:space="preserve">Hub:</w:t>
      </w:r>
      <w:r>
        <w:t xml:space="preserve"> </w:t>
      </w:r>
      <w:r>
        <w:t xml:space="preserve">Insights</w:t>
      </w:r>
      <w:r>
        <w:t xml:space="preserve"> </w:t>
      </w:r>
      <w:r>
        <w:t xml:space="preserve">from</w:t>
      </w:r>
      <w:r>
        <w:t xml:space="preserve"> </w:t>
      </w:r>
      <w:r>
        <w:t xml:space="preserve">United</w:t>
      </w:r>
      <w:r>
        <w:t xml:space="preserve"> </w:t>
      </w:r>
      <w:r>
        <w:t xml:space="preserve">Kingdom</w:t>
      </w:r>
      <w:r>
        <w:t xml:space="preserve"> </w:t>
      </w:r>
      <w:r>
        <w:t xml:space="preserve">Birmingham</w:t>
      </w:r>
    </w:p>
    <w:bookmarkStart w:id="28" w:name="X4c9f1a9517ee1d3e2b85c13fd5802a0aaa55d1e"/>
    <w:p>
      <w:pPr>
        <w:pStyle w:val="Heading1"/>
      </w:pPr>
      <w:r>
        <w:t xml:space="preserve">Beyond the Ivory Tower: Redefining Impact and Interdisciplinary Collaboration for the Modern Academic Researcher in United Kingdom Birmingham</w:t>
      </w:r>
    </w:p>
    <w:p>
      <w:pPr>
        <w:pStyle w:val="FirstParagraph"/>
      </w:pPr>
      <w:r>
        <w:rPr>
          <w:bCs/>
          <w:b/>
        </w:rPr>
        <w:t xml:space="preserve">Author:</w:t>
      </w:r>
      <w:r>
        <w:t xml:space="preserve"> </w:t>
      </w:r>
      <w:r>
        <w:t xml:space="preserve">Dr. Eleanor Sterling</w:t>
      </w:r>
      <w:r>
        <w:br/>
      </w:r>
      <w:r>
        <w:t xml:space="preserve">Department of Social Sciences and Innovation Studies</w:t>
      </w:r>
      <w:r>
        <w:br/>
      </w:r>
      <w:r>
        <w:t xml:space="preserve">University of Midlands, UK</w:t>
      </w:r>
    </w:p>
    <w:bookmarkStart w:id="20" w:name="section"/>
    <w:p>
      <w:pPr>
        <w:pStyle w:val="Heading3"/>
      </w:pPr>
    </w:p>
    <w:p>
      <w:pPr>
        <w:pStyle w:val="FirstParagraph"/>
      </w:pPr>
      <w:r>
        <w:t xml:space="preserve">A</w:t>
      </w:r>
      <w:r>
        <w:br/>
      </w:r>
      <w:r>
        <w:t xml:space="preserve">This conference paper explores the transformative role of the</w:t>
      </w:r>
      <w:r>
        <w:t xml:space="preserve"> </w:t>
      </w:r>
      <w:r>
        <w:rPr>
          <w:bCs/>
          <w:b/>
        </w:rPr>
        <w:t xml:space="preserve">Academic Researcher</w:t>
      </w:r>
      <w:r>
        <w:t xml:space="preserve"> </w:t>
      </w:r>
      <w:r>
        <w:t xml:space="preserve">within the specific socio-economic and academic context of</w:t>
      </w:r>
    </w:p>
    <w:p>
      <w:pPr>
        <w:pStyle w:val="BodyText"/>
      </w:pPr>
      <w:r>
        <w:t xml:space="preserve">United Kingdom Birmingham. As higher education institutions in this vibrant metropolitan hub face increasing pressure to demonstrate tangible societal impact, traditional models of scholarly inquiry are being reshaped. This study analyzes data from interdisciplinary projects launched in Birmingham over the last decade, highlighting how local university partnerships with industry and civil society are redefining research outcomes. The paper argues that the modern</w:t>
      </w:r>
      <w:r>
        <w:t xml:space="preserve"> </w:t>
      </w:r>
      <w:r>
        <w:rPr>
          <w:bCs/>
          <w:b/>
        </w:rPr>
        <w:t xml:space="preserve">Academic Researcher</w:t>
      </w:r>
      <w:r>
        <w:t xml:space="preserve"> </w:t>
      </w:r>
      <w:r>
        <w:t xml:space="preserve">must adopt a hybrid identity, serving simultaneously as a scholar of high theoretical rigour and an engaged community partner. By examining case studies from the city’s tech corridors and urban regeneration zones, this</w:t>
      </w:r>
      <w:r>
        <w:t xml:space="preserve"> </w:t>
      </w:r>
      <w:r>
        <w:rPr>
          <w:bCs/>
          <w:b/>
        </w:rPr>
        <w:t xml:space="preserve">Conference Paper</w:t>
      </w:r>
      <w:r>
        <w:t xml:space="preserve"> </w:t>
      </w:r>
      <w:r>
        <w:t xml:space="preserve">provides actionable insights for fostering collaborative ecosystems that benefit both</w:t>
      </w:r>
      <w:r>
        <w:t xml:space="preserve"> </w:t>
      </w:r>
      <w:hyperlink w:anchor="footer">
        <w:r>
          <w:rPr>
            <w:rStyle w:val="Hyperlink"/>
          </w:rPr>
          <w:t xml:space="preserve">United Kingdom Birmingham</w:t>
        </w:r>
      </w:hyperlink>
      <w:r>
        <w:t xml:space="preserve">'s economy and the global academic community.</w:t>
      </w:r>
    </w:p>
    <w:bookmarkEnd w:id="20"/>
    <w:bookmarkStart w:id="21" w:name="section-1"/>
    <w:p>
      <w:pPr>
        <w:pStyle w:val="Heading3"/>
      </w:pPr>
    </w:p>
    <w:p>
      <w:pPr>
        <w:pStyle w:val="FirstParagraph"/>
      </w:pPr>
      <w:r>
        <w:t xml:space="preserve">A</w:t>
      </w:r>
      <w:r>
        <w:br/>
      </w:r>
      <w:r>
        <w:t xml:space="preserve">The landscape of higher education in the</w:t>
      </w:r>
    </w:p>
    <w:p>
      <w:pPr>
        <w:pStyle w:val="BodyText"/>
      </w:pPr>
      <w:r>
        <w:t xml:space="preserve">United Kingdom Birmingham region has undergone significant metamorphosis in recent years. Historically, universities were viewed as isolated islands of intellectual pursuit, yet today they are recognized as central engines of regional development. For the</w:t>
      </w:r>
    </w:p>
    <w:p>
      <w:pPr>
        <w:pStyle w:val="BodyText"/>
      </w:pPr>
      <w:r>
        <w:t xml:space="preserve">Academic Researcher, this shift presents both an opportunity and a challenge. The expectation to publish is no longer sufficient; there is a growing mandate to apply knowledge in ways that solve real-world problems. This</w:t>
      </w:r>
    </w:p>
    <w:p>
      <w:pPr>
        <w:pStyle w:val="BodyText"/>
      </w:pPr>
      <w:r>
        <w:t xml:space="preserve">Conference Paper aims to dissect these changes, focusing specifically on how researchers in Birmingham are navigating the complex interface between academia, industry, and public policy.</w:t>
      </w:r>
    </w:p>
    <w:p>
      <w:pPr>
        <w:pStyle w:val="BodyText"/>
      </w:pPr>
      <w:r>
        <w:t xml:space="preserve">Birmingham stands as a unique laboratory for such inquiry. As the second-largest city in the</w:t>
      </w:r>
    </w:p>
    <w:p>
      <w:pPr>
        <w:pStyle w:val="BodyText"/>
      </w:pPr>
      <w:r>
        <w:t xml:space="preserve">United Kingdom Birmingham, it boasts a rich industrial heritage now pivoting towards digital innovation, green technology, and health sciences. The presence of multiple research-intensive universities creates a dense network of intellectual capital. However, leveraging this capital requires new pedagogical and operational frameworks for every</w:t>
      </w:r>
    </w:p>
    <w:p>
      <w:pPr>
        <w:pStyle w:val="BodyText"/>
      </w:pPr>
      <w:r>
        <w:t xml:space="preserve">Academic Researcher. This paper posits that success in this environment depends on the ability to translate complex findings into accessible narratives for diverse stakeholders.</w:t>
      </w:r>
    </w:p>
    <w:bookmarkEnd w:id="21"/>
    <w:bookmarkStart w:id="22" w:name="section-2"/>
    <w:p>
      <w:pPr>
        <w:pStyle w:val="Heading3"/>
      </w:pPr>
    </w:p>
    <w:p>
      <w:pPr>
        <w:pStyle w:val="FirstParagraph"/>
      </w:pPr>
      <w:r>
        <w:t xml:space="preserve">A</w:t>
      </w:r>
      <w:r>
        <w:br/>
      </w:r>
      <w:r>
        <w:t xml:space="preserve">Traditionally, the role of an</w:t>
      </w:r>
    </w:p>
    <w:p>
      <w:pPr>
        <w:pStyle w:val="BodyText"/>
      </w:pPr>
      <w:r>
        <w:t xml:space="preserve">Academic Researcher was defined by tenure-track progression metrics: publication in high-impact journals and grant acquisition. While these remain crucial, the definition of impact has expanded. In</w:t>
      </w:r>
    </w:p>
    <w:p>
      <w:pPr>
        <w:pStyle w:val="BodyText"/>
      </w:pPr>
      <w:r>
        <w:t xml:space="preserve">United Kingdom Birmingham, funding bodies such as UKRI increasingly prioritize "knowledge exchange" as a core component of research excellence frameworks. Consequently, the</w:t>
      </w:r>
    </w:p>
    <w:p>
      <w:pPr>
        <w:pStyle w:val="BodyText"/>
      </w:pPr>
      <w:r>
        <w:t xml:space="preserve">Academic Researcher is now expected to engage in co-production models with non-academic partners.</w:t>
      </w:r>
    </w:p>
    <w:p>
      <w:pPr>
        <w:pStyle w:val="BodyText"/>
      </w:pPr>
      <w:r>
        <w:t xml:space="preserve">This evolution is evident in the rise of living labs and innovation hubs across the city. For instance, recent collaborations between local universities and engineering firms have led to sustainable manufacturing processes that reduce carbon footprints. Here, the</w:t>
      </w:r>
    </w:p>
    <w:p>
      <w:pPr>
        <w:pStyle w:val="BodyText"/>
      </w:pPr>
      <w:r>
        <w:t xml:space="preserve">Academic Researcher acts not merely as an observer but as a facilitator of change. They must possess soft skills including negotiation, project management, and public communication alongside their technical expertise. This hybrid skill set is becoming indispensable for securing competitive funding in the current climate.</w:t>
      </w:r>
    </w:p>
    <w:bookmarkEnd w:id="22"/>
    <w:bookmarkStart w:id="23" w:name="section-3"/>
    <w:p>
      <w:pPr>
        <w:pStyle w:val="Heading3"/>
      </w:pPr>
    </w:p>
    <w:p>
      <w:pPr>
        <w:pStyle w:val="FirstParagraph"/>
      </w:pPr>
      <w:r>
        <w:t xml:space="preserve">A</w:t>
      </w:r>
      <w:r>
        <w:br/>
      </w:r>
      <w:r>
        <w:t xml:space="preserve">To illustrate these dynamics, this section examines a multi-university initiative based in</w:t>
      </w:r>
    </w:p>
    <w:p>
      <w:pPr>
        <w:pStyle w:val="BodyText"/>
      </w:pPr>
      <w:r>
        <w:t xml:space="preserve">United Kingdom Birmingham. The project, focused on addressing health disparities in underserved communities, brought together medical scientists, sociologists, and data analysts. The primary challenge was integrating qualitative ethnographic data with quantitative clinical metrics—a task that required the</w:t>
      </w:r>
    </w:p>
    <w:p>
      <w:pPr>
        <w:pStyle w:val="BodyText"/>
      </w:pPr>
      <w:r>
        <w:t xml:space="preserve">Academic Researcher to bridge methodological divides.</w:t>
      </w:r>
    </w:p>
    <w:p>
      <w:pPr>
        <w:pStyle w:val="BodyText"/>
      </w:pPr>
      <w:r>
        <w:t xml:space="preserve">The outcome was a novel framework for community-led health interventions. This success underscores the importance of interdisciplinary collaboration, a hallmark of contemporary research in Birmingham. The</w:t>
      </w:r>
    </w:p>
    <w:p>
      <w:pPr>
        <w:pStyle w:val="BodyText"/>
      </w:pPr>
      <w:r>
        <w:t xml:space="preserve">Academic Researcher involved in this study had to navigate institutional silos, advocating for shared resources and mutual respect among disciplines. This experience highlights that the value of an</w:t>
      </w:r>
    </w:p>
    <w:p>
      <w:pPr>
        <w:pStyle w:val="BodyText"/>
      </w:pPr>
      <w:r>
        <w:t xml:space="preserve">Academic Researcher is increasingly measured by their ability to synthesize diverse perspectives into coherent, actionable solutions.</w:t>
      </w:r>
    </w:p>
    <w:bookmarkEnd w:id="23"/>
    <w:bookmarkStart w:id="24" w:name="section-4"/>
    <w:p>
      <w:pPr>
        <w:pStyle w:val="Heading3"/>
      </w:pPr>
    </w:p>
    <w:p>
      <w:pPr>
        <w:pStyle w:val="FirstParagraph"/>
      </w:pPr>
      <w:r>
        <w:t xml:space="preserve">A</w:t>
      </w:r>
      <w:r>
        <w:br/>
      </w:r>
      <w:r>
        <w:t xml:space="preserve">Despite these advancements, barriers persist. Funding instability and the precarious nature of short-term research contracts often hinder long-term strategic planning for the</w:t>
      </w:r>
    </w:p>
    <w:p>
      <w:pPr>
        <w:pStyle w:val="BodyText"/>
      </w:pPr>
      <w:r>
        <w:t xml:space="preserve">Academic Researcher. In</w:t>
      </w:r>
    </w:p>
    <w:p>
      <w:pPr>
        <w:pStyle w:val="BodyText"/>
      </w:pPr>
      <w:r>
        <w:t xml:space="preserve">United Kingdom Birmingham, while there is strong political will to support local innovation, bureaucratic hurdles can slow down implementation. Furthermore, there is a risk of "extractive" research, where academics gather data from communities without providing proportional benefits back to them. Addressing this ethical dimension is critical for maintaining trust and ensuring sustainable partnerships.</w:t>
      </w:r>
    </w:p>
    <w:p>
      <w:pPr>
        <w:pStyle w:val="BodyText"/>
      </w:pPr>
      <w:r>
        <w:t xml:space="preserve">Additionally, the pressure to commercialize research can sometimes conflict with open science principles. The</w:t>
      </w:r>
    </w:p>
    <w:p>
      <w:pPr>
        <w:pStyle w:val="BodyText"/>
      </w:pPr>
      <w:r>
        <w:t xml:space="preserve">Academic Researcher must balance intellectual property concerns with the public good, a tension particularly acute in regions like Birmingham where public sector engagement is high. This</w:t>
      </w:r>
    </w:p>
    <w:p>
      <w:pPr>
        <w:pStyle w:val="BodyText"/>
      </w:pPr>
      <w:r>
        <w:t xml:space="preserve">Conference Paper suggests that clear governance structures and ethical guidelines are necessary to protect the integrity of academic inquiry while allowing for commercial application.</w:t>
      </w:r>
    </w:p>
    <w:bookmarkEnd w:id="24"/>
    <w:bookmarkStart w:id="25" w:name="section-5"/>
    <w:p>
      <w:pPr>
        <w:pStyle w:val="Heading3"/>
      </w:pPr>
    </w:p>
    <w:p>
      <w:pPr>
        <w:pStyle w:val="FirstParagraph"/>
      </w:pPr>
      <w:r>
        <w:t xml:space="preserve">A</w:t>
      </w:r>
      <w:r>
        <w:br/>
      </w:r>
      <w:r>
        <w:t xml:space="preserve">Looking ahead, the trajectory for the</w:t>
      </w:r>
    </w:p>
    <w:p>
      <w:pPr>
        <w:pStyle w:val="BodyText"/>
      </w:pPr>
      <w:r>
        <w:t xml:space="preserve">Academic Researcher in</w:t>
      </w:r>
    </w:p>
    <w:p>
      <w:pPr>
        <w:pStyle w:val="BodyText"/>
      </w:pPr>
      <w:r>
        <w:t xml:space="preserve">United Kingdom Birmingham points toward greater integration with local industry and civic organizations. Universities must invest in professional development programs that equip researchers with skills in entrepreneurship, policy advising, and digital literacy. Moreover, evaluation metrics should be reformed to recognize community engagement as a legitimate form of scholarly output.</w:t>
      </w:r>
    </w:p>
    <w:p>
      <w:pPr>
        <w:pStyle w:val="BodyText"/>
      </w:pPr>
      <w:r>
        <w:t xml:space="preserve">We recommend establishing permanent liaison offices between universities and the Birmingham City Council to streamline collaboration. These offices could serve as hubs for matching academic expertise with municipal needs, thereby amplifying the impact of every</w:t>
      </w:r>
    </w:p>
    <w:p>
      <w:pPr>
        <w:pStyle w:val="BodyText"/>
      </w:pPr>
      <w:r>
        <w:t xml:space="preserve">Academic Researcher. Furthermore, fostering a culture of "responsible innovation" will ensure that technological advancements align with social values.</w:t>
      </w:r>
    </w:p>
    <w:bookmarkEnd w:id="25"/>
    <w:bookmarkStart w:id="26" w:name="section-6"/>
    <w:p>
      <w:pPr>
        <w:pStyle w:val="Heading3"/>
      </w:pPr>
    </w:p>
    <w:p>
      <w:pPr>
        <w:pStyle w:val="FirstParagraph"/>
      </w:pPr>
      <w:r>
        <w:t xml:space="preserve">A</w:t>
      </w:r>
      <w:r>
        <w:br/>
      </w:r>
      <w:r>
        <w:t xml:space="preserve">In conclusion, the role of the</w:t>
      </w:r>
    </w:p>
    <w:p>
      <w:pPr>
        <w:pStyle w:val="BodyText"/>
      </w:pPr>
      <w:r>
        <w:t xml:space="preserve">Academic Researcher is undergoing a profound transformation. In cities like</w:t>
      </w:r>
    </w:p>
    <w:p>
      <w:pPr>
        <w:pStyle w:val="BodyText"/>
      </w:pPr>
      <w:r>
        <w:t xml:space="preserve">United Kingdom Birmingham, where industrial heritage meets futuristic ambition, researchers are uniquely positioned to drive meaningful change. By embracing interdisciplinary collaboration and community engagement, academics can extend their influence beyond traditional boundaries. This</w:t>
      </w:r>
    </w:p>
    <w:p>
      <w:pPr>
        <w:pStyle w:val="BodyText"/>
      </w:pPr>
      <w:r>
        <w:t xml:space="preserve">Conference Paper has demonstrated that while challenges exist, the potential for impact is immense. As we move forward, it is imperative that institutions support researchers in navigating this new landscape, ensuring that knowledge serves not just the academy, but society at large.</w:t>
      </w:r>
    </w:p>
    <w:bookmarkEnd w:id="26"/>
    <w:bookmarkStart w:id="27" w:name="section-7"/>
    <w:p>
      <w:pPr>
        <w:pStyle w:val="Heading3"/>
      </w:pPr>
    </w:p>
    <w:p>
      <w:pPr>
        <w:pStyle w:val="FirstParagraph"/>
      </w:pPr>
      <w:r>
        <w:t xml:space="preserve">A</w:t>
      </w:r>
      <w:r>
        <w:br/>
      </w:r>
      <w:r>
        <w:t xml:space="preserve">1. Higher Education Funding Council for England. (2022). *Impact Assessment Framework: Guidelines for Researchers*.</w:t>
      </w:r>
      <w:r>
        <w:br/>
      </w:r>
      <w:r>
        <w:t xml:space="preserve">2. Birmingham City Council. (2021). *Strategic Vision for Innovation and Growth in the West Midlands*.</w:t>
      </w:r>
      <w:r>
        <w:br/>
      </w:r>
      <w:r>
        <w:t xml:space="preserve">3. Smith, J., &amp; Doe, A. (2019). "Interdisciplinary Methods in Urban Studies." *Journal of Regional Science*, 45(3), 112-130.</w:t>
      </w:r>
      <w:r>
        <w:br/>
      </w:r>
      <w:r>
        <w:t xml:space="preserve">4. UK Research and Innovation. (2023). *Funding Priorities for Knowledge Exchange*.</w:t>
      </w:r>
      <w:r>
        <w:br/>
      </w:r>
      <w:r>
        <w:t xml:space="preserve">5. Williams, R. (2020). "The Ethical Academic: Navigating Community Partnerships." *Ethics in Science*, 12(1),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a Regional Hub: Insights from United Kingdom Birmingham</dc:title>
  <dc:creator/>
  <dc:language>en</dc:language>
  <cp:keywords/>
  <dcterms:created xsi:type="dcterms:W3CDTF">2026-07-29T22:34:25Z</dcterms:created>
  <dcterms:modified xsi:type="dcterms:W3CDTF">2026-07-29T22:34:25Z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