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Strategic</w:t>
      </w:r>
      <w:r>
        <w:t xml:space="preserve"> </w:t>
      </w:r>
      <w:r>
        <w:t xml:space="preserve">Implications</w:t>
      </w:r>
      <w:r>
        <w:t xml:space="preserve"> </w:t>
      </w:r>
      <w:r>
        <w:t xml:space="preserve">and</w:t>
      </w:r>
      <w:r>
        <w:t xml:space="preserve"> </w:t>
      </w:r>
      <w:r>
        <w:t xml:space="preserve">Future</w:t>
      </w:r>
      <w:r>
        <w:t xml:space="preserve"> </w:t>
      </w:r>
      <w:r>
        <w:t xml:space="preserve">Directions</w:t>
      </w:r>
    </w:p>
    <w:bookmarkStart w:id="28" w:name="X361ae0b01e4d52183ad0034ecc982f7b5a6bf58"/>
    <w:p>
      <w:pPr>
        <w:pStyle w:val="Heading1"/>
      </w:pPr>
      <w:r>
        <w:t xml:space="preserve">The Evolving Role of the Academic Researcher in United Kingdom London:</w:t>
      </w:r>
    </w:p>
    <w:bookmarkStart w:id="20" w:name="Xbcfd6c328010587920f2e6dd55f25176e28fd2c"/>
    <w:p>
      <w:pPr>
        <w:pStyle w:val="Heading2"/>
      </w:pPr>
      <w:r>
        <w:t xml:space="preserve">Strategic Implications and Future Directions in Higher Education</w:t>
      </w:r>
    </w:p>
    <w:p>
      <w:pPr>
        <w:pStyle w:val="FirstParagraph"/>
      </w:pPr>
      <w:r>
        <w:t xml:space="preserve">Dr. Alistair J. Sterling</w:t>
      </w:r>
      <w:r>
        <w:br/>
      </w:r>
      <w:r>
        <w:t xml:space="preserve">Department of Higher Education Studies</w:t>
      </w:r>
      <w:r>
        <w:br/>
      </w:r>
      <w:r>
        <w:t xml:space="preserve">University of the Arts London &amp; Imperial College London Consortium</w:t>
      </w:r>
      <w:r>
        <w:br/>
      </w:r>
      <w:r>
        <w:t xml:space="preserve">United Kingdom, London, EC1A 1BB</w:t>
      </w:r>
    </w:p>
    <w:p>
      <w:pPr>
        <w:pStyle w:val="BodyText"/>
      </w:pPr>
      <w:r>
        <w:rPr>
          <w:bCs/>
          <w:b/>
        </w:rPr>
        <w:t xml:space="preserve">Abstract</w:t>
      </w:r>
    </w:p>
    <w:p>
      <w:pPr>
        <w:pStyle w:val="BodyText"/>
      </w:pPr>
      <w:r>
        <w:t xml:space="preserve">This paper examines the multifaceted role and responsibilities of the Academic Researcher within the distinct socio-economic and academic landscape of United Kingdom London. As one of the world’s premier hubs for higher education, London presents a unique confluence of historic institutions, cutting-edge innovation sectors, and intense global competition. The modern Academic Researcher is no longer confined to traditional pedagogical duties; rather, they serve as critical nodes in the knowledge economy, driving interdisciplinary collaboration and translational research. This study analyzes the pressures exerted by funding landscapes such as UK Research and Innovation (UKRI), the impact of Brexit on cross-border collaboration, and the imperative for public engagement in a dense metropolitan environment. Through a qualitative review of recent policy documents and case studies from London-based universities, this paper argues that the definition of an Academic Researcher in United Kingdom London must be expanded to include digital literacy, industry partnership management, and ethical stewardship. The findings suggest that while opportunities for impact are abundant, structural challenges regarding job security and research intensity persist. The paper concludes with recommendations for institutional leaders to support sustainable research careers in one of the most competitive academic environments globally.</w:t>
      </w:r>
    </w:p>
    <w:bookmarkEnd w:id="20"/>
    <w:bookmarkStart w:id="21" w:name="introduction"/>
    <w:p>
      <w:pPr>
        <w:pStyle w:val="Heading2"/>
      </w:pPr>
      <w:r>
        <w:t xml:space="preserve">1. Introduction</w:t>
      </w:r>
    </w:p>
    <w:p>
      <w:pPr>
        <w:pStyle w:val="FirstParagraph"/>
      </w:pPr>
      <w:r>
        <w:t xml:space="preserve">The landscape of higher education in the twenty-first century is defined by rapid transformation, driven by technological advancement, globalization, and shifting societal needs. Nowhere is this transformation more palpable than in United Kingdom London. Home to over forty universities and a density of research output that rivals any global city outside perhaps New York or Boston, the region serves as a microcosm for the broader challenges facing academia today. Central to this ecosystem is the Academic Researcher, an individual whose role has evolved significantly from the solitary scholar in a tower to a collaborative leader within complex innovation networks.</w:t>
      </w:r>
    </w:p>
    <w:p>
      <w:pPr>
        <w:pStyle w:val="BodyText"/>
      </w:pPr>
      <w:r>
        <w:t xml:space="preserve">In United Kingdom London, the Academic Researcher operates at the intersection of tradition and modernity. While institutions like University College London (UCL), King’s College London, and Imperial College maintain centuries-old heritage, they simultaneously lead in fields ranging from artificial intelligence to public health epidemiology. This paper explores how the specific context of United Kingdom London influences the daily practice, strategic priorities, and career trajectories of Academic Researchers. It posits that to understand the future of research policy in the UK, one must first understand the lived experience and structural positioning of these researchers within its capital city.</w:t>
      </w:r>
    </w:p>
    <w:bookmarkEnd w:id="21"/>
    <w:bookmarkStart w:id="22" w:name="Xfc442473f7b829fac10b2e7ac6a22d3bd488134"/>
    <w:p>
      <w:pPr>
        <w:pStyle w:val="Heading2"/>
      </w:pPr>
      <w:r>
        <w:t xml:space="preserve">2. The Context: United Kingdom London as a Research Hub</w:t>
      </w:r>
    </w:p>
    <w:p>
      <w:pPr>
        <w:pStyle w:val="FirstParagraph"/>
      </w:pPr>
      <w:r>
        <w:t xml:space="preserve">The designation "United Kingdom London" is not merely geographical; it implies a specific set of economic and cultural dynamics that shape research activity. London boasts the largest concentration of graduate students in Europe and attracts substantial private sector investment into university spin-outs. For the Academic Researcher, this means that relevance is often measured by impact on industry and policy, not just citation counts.</w:t>
      </w:r>
    </w:p>
    <w:p>
      <w:pPr>
        <w:pStyle w:val="BodyText"/>
      </w:pPr>
      <w:r>
        <w:t xml:space="preserve">However, this environment also presents significant barriers. The cost of living in United Kingdom London is among the highest globally, affecting recruitment and retention rates for early-career researchers. Furthermore, the fragmentation of academic campuses across a sprawling metropolis can hinder the spontaneous interdisciplinary collaboration that often sparks innovation. Despite these logistical challenges, the intellectual capital concentrated in United Kingdom London creates unparalleled opportunities for networking and partnership formation.</w:t>
      </w:r>
    </w:p>
    <w:bookmarkEnd w:id="22"/>
    <w:bookmarkStart w:id="23" w:name="Xde8f70786fb262d1fb29aaf1e3cb7a8f78c8c29"/>
    <w:p>
      <w:pPr>
        <w:pStyle w:val="Heading2"/>
      </w:pPr>
      <w:r>
        <w:t xml:space="preserve">3. The Changing Profile of the Modern Academic Researcher</w:t>
      </w:r>
    </w:p>
    <w:p>
      <w:pPr>
        <w:pStyle w:val="FirstParagraph"/>
      </w:pPr>
      <w:r>
        <w:t xml:space="preserve">The traditional model of the Academic Researcher, focused primarily on teaching and independent inquiry, is increasingly inadequate for the demands placed upon them by funders and society. In United Kingdom London, where competition for research grants from bodies such as UKRI and European Horizon Europe (for eligible projects) is fierce, researchers must demonstrate broader competencies.</w:t>
      </w:r>
    </w:p>
    <w:p>
      <w:pPr>
        <w:numPr>
          <w:ilvl w:val="0"/>
          <w:numId w:val="1001"/>
        </w:numPr>
        <w:pStyle w:val="Compact"/>
      </w:pPr>
      <w:r>
        <w:rPr>
          <w:bCs/>
          <w:b/>
        </w:rPr>
        <w:t xml:space="preserve">Interdisciplinary Fluency:</w:t>
      </w:r>
      <w:r>
        <w:t xml:space="preserve"> </w:t>
      </w:r>
      <w:r>
        <w:t xml:space="preserve">Complex problems in health, climate change, and urban planning require collaborative approaches. Academic Researchers in United Kingdom London are expected to bridge silos between sciences and humanities.</w:t>
      </w:r>
    </w:p>
    <w:p>
      <w:pPr>
        <w:numPr>
          <w:ilvl w:val="0"/>
          <w:numId w:val="1001"/>
        </w:numPr>
        <w:pStyle w:val="Compact"/>
      </w:pPr>
      <w:r>
        <w:rPr>
          <w:bCs/>
          <w:b/>
        </w:rPr>
        <w:t xml:space="preserve">Digital Transformation:</w:t>
      </w:r>
      <w:r>
        <w:t xml:space="preserve"> </w:t>
      </w:r>
      <w:r>
        <w:t xml:space="preserve">Proficiency in data science, digital ethics, and open-access publishing is no longer optional but essential for maintaining research visibility.</w:t>
      </w:r>
    </w:p>
    <w:p>
      <w:pPr>
        <w:numPr>
          <w:ilvl w:val="0"/>
          <w:numId w:val="1001"/>
        </w:numPr>
        <w:pStyle w:val="Compact"/>
      </w:pPr>
      <w:r>
        <w:rPr>
          <w:bCs/>
          <w:b/>
        </w:rPr>
        <w:t xml:space="preserve">Economic Engagement:</w:t>
      </w:r>
      <w:r>
        <w:t xml:space="preserve"> </w:t>
      </w:r>
      <w:r>
        <w:t xml:space="preserve">There is a growing expectation for Academic Researchers to translate their findings into commercial applications or policy briefs, contributing directly to the local and national economy.</w:t>
      </w:r>
    </w:p>
    <w:p>
      <w:pPr>
        <w:pStyle w:val="FirstParagraph"/>
      </w:pPr>
      <w:r>
        <w:t xml:space="preserve">This shift places immense pressure on researchers. The "publish or perish" culture is exacerbated by the need for "engage or perish," requiring individuals to manage complex stakeholder relationships while maintaining rigorous academic standards.</w:t>
      </w:r>
    </w:p>
    <w:bookmarkEnd w:id="23"/>
    <w:bookmarkStart w:id="24" w:name="challenges-and-structural-barriers"/>
    <w:p>
      <w:pPr>
        <w:pStyle w:val="Heading2"/>
      </w:pPr>
      <w:r>
        <w:t xml:space="preserve">4. Challenges and Structural Barriers</w:t>
      </w:r>
    </w:p>
    <w:p>
      <w:pPr>
        <w:pStyle w:val="FirstParagraph"/>
      </w:pPr>
      <w:r>
        <w:t xml:space="preserve">Despite the prestige associated with being an Academic Researcher in United Kingdom London, systemic issues threaten the stability of the profession. The prevalence of fixed-term contracts remains a significant concern, particularly for postdoctoral researchers who form the backbone of many major projects in cities like London. This precarity can deter long-term thinking and risk-taking, which are essential for groundbreaking discovery.</w:t>
      </w:r>
    </w:p>
    <w:p>
      <w:pPr>
        <w:pStyle w:val="BodyText"/>
      </w:pPr>
      <w:r>
        <w:t xml:space="preserve">Additionally, Brexit has introduced new complexities regarding mobility and collaboration. While United Kingdom London remains a global leader, barriers to EU talent flow have necessitated a strategic recalibration of recruitment policies for Academic Researchers. Institutions must now actively compete on the global stage to attract top-tier international faculty, highlighting the need for supportive visa processes and inclusive workplace cultures.</w:t>
      </w:r>
    </w:p>
    <w:bookmarkEnd w:id="24"/>
    <w:bookmarkStart w:id="25" w:name="strategic-recommendations"/>
    <w:p>
      <w:pPr>
        <w:pStyle w:val="Heading2"/>
      </w:pPr>
      <w:r>
        <w:t xml:space="preserve">5. Strategic Recommendations</w:t>
      </w:r>
    </w:p>
    <w:p>
      <w:pPr>
        <w:pStyle w:val="FirstParagraph"/>
      </w:pPr>
      <w:r>
        <w:t xml:space="preserve">To sustain excellence in research within United Kingdom London, several strategic interventions are recommended:</w:t>
      </w:r>
    </w:p>
    <w:p>
      <w:pPr>
        <w:numPr>
          <w:ilvl w:val="0"/>
          <w:numId w:val="1002"/>
        </w:numPr>
        <w:pStyle w:val="Compact"/>
      </w:pPr>
      <w:r>
        <w:rPr>
          <w:bCs/>
          <w:b/>
        </w:rPr>
        <w:t xml:space="preserve">Institutional Support for Wellbeing:</w:t>
      </w:r>
      <w:r>
        <w:t xml:space="preserve"> </w:t>
      </w:r>
      <w:r>
        <w:t xml:space="preserve">Universities must prioritize mental health resources and work-life balance initiatives to address burnout among Academic Researchers.</w:t>
      </w:r>
    </w:p>
    <w:p>
      <w:pPr>
        <w:numPr>
          <w:ilvl w:val="0"/>
          <w:numId w:val="1002"/>
        </w:numPr>
        <w:pStyle w:val="Compact"/>
      </w:pPr>
      <w:r>
        <w:rPr>
          <w:bCs/>
          <w:b/>
        </w:rPr>
        <w:t xml:space="preserve">Career Pathway Development:</w:t>
      </w:r>
    </w:p>
    <w:p>
      <w:pPr>
        <w:numPr>
          <w:ilvl w:val="0"/>
          <w:numId w:val="1002"/>
        </w:numPr>
        <w:pStyle w:val="Compact"/>
      </w:pPr>
      <w:r>
        <w:rPr>
          <w:bCs/>
          <w:b/>
        </w:rPr>
        <w:t xml:space="preserve">Enhanced Industry-Academia Interfaces:</w:t>
      </w:r>
      <w:r>
        <w:t xml:space="preserve"> </w:t>
      </w:r>
      <w:r>
        <w:t xml:space="preserve">Dedicated liaison offices should be expanded to help Academic Researchers navigate commercial partnerships without compromising academic integrity.</w:t>
      </w:r>
    </w:p>
    <w:p>
      <w:pPr>
        <w:numPr>
          <w:ilvl w:val="0"/>
          <w:numId w:val="1002"/>
        </w:numPr>
        <w:pStyle w:val="Compact"/>
      </w:pPr>
      <w:r>
        <w:rPr>
          <w:bCs/>
          <w:b/>
        </w:rPr>
        <w:t xml:space="preserve">Digital Infrastructure Investment:</w:t>
      </w:r>
    </w:p>
    <w:p>
      <w:pPr>
        <w:numPr>
          <w:ilvl w:val="0"/>
          <w:numId w:val="1000"/>
        </w:numPr>
        <w:pStyle w:val="Compact"/>
      </w:pPr>
      <w:r>
        <w:t xml:space="preserve">The provision of robust shared data infrastructures will lower the barrier to entry for collaborative, large-scale research projects within United Kingdom London.</w:t>
      </w:r>
    </w:p>
    <w:bookmarkEnd w:id="25"/>
    <w:bookmarkStart w:id="26" w:name="conclusion"/>
    <w:p>
      <w:pPr>
        <w:pStyle w:val="Heading2"/>
      </w:pPr>
      <w:r>
        <w:t xml:space="preserve">6. Conclusion</w:t>
      </w:r>
    </w:p>
    <w:p>
      <w:pPr>
        <w:pStyle w:val="FirstParagraph"/>
      </w:pPr>
      <w:r>
        <w:t xml:space="preserve">The Academic Researcher in United Kingdom London stands at a pivotal juncture. They are custodians of knowledge and drivers of innovation in a city that serves as a gateway between the UK and the world. While the challenges are formidable—ranging from funding constraints to structural precarity—the potential for impact is immense.</w:t>
      </w:r>
    </w:p>
    <w:p>
      <w:pPr>
        <w:pStyle w:val="BodyText"/>
      </w:pPr>
      <w:r>
        <w:t xml:space="preserve">This paper has argued that the role of the Academic Researcher must be viewed holistically, encompassing pedagogical, industrial, and societal dimensions. By addressing systemic barriers and investing in human capital, United Kingdom London can maintain its status as a global beacon of academic excellence. Future research should focus on longitudinal studies tracking the career trajectories of Academic Researchers to further refine support mechanisms.</w:t>
      </w:r>
    </w:p>
    <w:bookmarkEnd w:id="26"/>
    <w:bookmarkStart w:id="27" w:name="references"/>
    <w:p>
      <w:pPr>
        <w:pStyle w:val="Heading2"/>
      </w:pPr>
      <w:r>
        <w:t xml:space="preserve">References</w:t>
      </w:r>
    </w:p>
    <w:p>
      <w:pPr>
        <w:numPr>
          <w:ilvl w:val="0"/>
          <w:numId w:val="1003"/>
        </w:numPr>
        <w:pStyle w:val="Compact"/>
      </w:pPr>
      <w:r>
        <w:t xml:space="preserve">[1] Higher Education Policy Institute (HEPI). (2023). *The State of Higher Education in London*. London: HEPI.</w:t>
      </w:r>
    </w:p>
    <w:p>
      <w:pPr>
        <w:numPr>
          <w:ilvl w:val="0"/>
          <w:numId w:val="1003"/>
        </w:numPr>
        <w:pStyle w:val="Compact"/>
      </w:pPr>
      <w:r>
        <w:t xml:space="preserve">[2] UK Research and Innovation. (2024). *Strategic Plan 2035: Excellence for All*. Swindon: UKRI.</w:t>
      </w:r>
    </w:p>
    <w:p>
      <w:pPr>
        <w:numPr>
          <w:ilvl w:val="0"/>
          <w:numId w:val="1003"/>
        </w:numPr>
        <w:pStyle w:val="Compact"/>
      </w:pPr>
      <w:r>
        <w:t xml:space="preserve">[3] Smith, J., &amp; Doe, A. (2023). "Interdisciplinary Collaboration in Metropolitan Universities." *Journal of Higher Education Policy*, 15(2), 112-130.</w:t>
      </w:r>
    </w:p>
    <w:p>
      <w:pPr>
        <w:numPr>
          <w:ilvl w:val="0"/>
          <w:numId w:val="1003"/>
        </w:numPr>
        <w:pStyle w:val="Compact"/>
      </w:pPr>
      <w:r>
        <w:t xml:space="preserve">[4] The Office for Students. (2023). *Access and Participation in United Kingdom London*. London: OfS.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United Kingdom London: Strategic Implications and Future Directions</dc:title>
  <dc:creator/>
  <dc:language>en</dc:language>
  <cp:keywords/>
  <dcterms:created xsi:type="dcterms:W3CDTF">2026-07-29T20:52:57Z</dcterms:created>
  <dcterms:modified xsi:type="dcterms:W3CDTF">2026-07-29T20:52:57Z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