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2" w:name="X4d236091f29152bc0eab1aeb8e996ae66495868"/>
    <w:p>
      <w:pPr>
        <w:pStyle w:val="Heading1"/>
      </w:pPr>
      <w:r>
        <w:t xml:space="preserve">The Strategic Evolution of the Accountant in the Financial Hub of Germany Frankfurt</w:t>
      </w:r>
    </w:p>
    <w:p>
      <w:pPr>
        <w:pStyle w:val="FirstParagraph"/>
      </w:pPr>
      <w:r>
        <w:rPr>
          <w:bCs/>
          <w:b/>
        </w:rPr>
        <w:t xml:space="preserve">Author:</w:t>
      </w:r>
      <w:r>
        <w:br/>
      </w:r>
      <w:r>
        <w:t xml:space="preserve">Dr. Eleanor V. Sterling</w:t>
      </w:r>
      <w:r>
        <w:br/>
      </w:r>
      <w:r>
        <w:t xml:space="preserve">Senior Fellow, Institute for European Fiscal Studies</w:t>
      </w:r>
      <w:r>
        <w:br/>
      </w:r>
      <w:r>
        <w:t xml:space="preserve">London, United Kingdom</w:t>
      </w:r>
    </w:p>
    <w:p>
      <w:pPr>
        <w:pStyle w:val="BodyText"/>
      </w:pPr>
      <w:r>
        <w:rPr>
          <w:iCs/>
          <w:i/>
        </w:rPr>
        <w:t xml:space="preserve">Presentation given at the International Conference on Economic Stability and Corporate Governance.</w:t>
      </w:r>
    </w:p>
    <w:p>
      <w:pPr>
        <w:pStyle w:val="BodyText"/>
      </w:pPr>
      <w:r>
        <w:rPr>
          <w:bCs/>
          <w:b/>
        </w:rPr>
        <w:t xml:space="preserve">Abstract</w:t>
      </w:r>
    </w:p>
    <w:p>
      <w:pPr>
        <w:pStyle w:val="BodyText"/>
      </w:pPr>
      <w:r>
        <w:t xml:space="preserve">This conference paper examines the critical role of the accountant within one of Europe’s most significant financial centers: Germany Frankfurt. As global markets become increasingly interconnected, the traditional perception of an</w:t>
      </w:r>
      <w:r>
        <w:t xml:space="preserve"> </w:t>
      </w:r>
      <w:r>
        <w:rPr>
          <w:bCs/>
          <w:b/>
        </w:rPr>
        <w:t xml:space="preserve">Accountant</w:t>
      </w:r>
      <w:r>
        <w:t xml:space="preserve">Germany Frankfurt, where major banks, regulatory bodies, and international corporations are headquartered, the modern accountant serves as a strategic advisor, compliance guardian, and technological integrator. This paper explores the unique challenges faced by professionals in this region due to strict German fiscal laws (HGB) alongside international standards (IFRS), the impact of digital transformation on accounting practices in</w:t>
      </w:r>
      <w:r>
        <w:t xml:space="preserve"> </w:t>
      </w:r>
      <w:r>
        <w:rPr>
          <w:bCs/>
          <w:b/>
        </w:rPr>
        <w:t xml:space="preserve">Germany Frankfurt</w:t>
      </w:r>
      <w:r>
        <w:t xml:space="preserve">, and future trends that will define the profession. The analysis suggests that while technology automates routine tasks, the strategic insight provided by a qualified</w:t>
      </w:r>
      <w:r>
        <w:t xml:space="preserve"> </w:t>
      </w:r>
      <w:r>
        <w:rPr>
          <w:bCs/>
          <w:b/>
        </w:rPr>
        <w:t xml:space="preserve">Accountant</w:t>
      </w:r>
    </w:p>
    <w:bookmarkStart w:id="20" w:name="X4def3f32989bbc766ab2548f159fd54e4450888"/>
    <w:p>
      <w:pPr>
        <w:pStyle w:val="Heading2"/>
      </w:pPr>
      <w:r>
        <w:t xml:space="preserve">I. Introduction: The Financial Heart of Germany</w:t>
      </w:r>
    </w:p>
    <w:p>
      <w:pPr>
        <w:pStyle w:val="FirstParagraph"/>
      </w:pPr>
      <w:r>
        <w:rPr>
          <w:bCs/>
          <w:b/>
        </w:rPr>
        <w:t xml:space="preserve">Germany Frankfurt</w:t>
      </w:r>
      <w:r>
        <w:t xml:space="preserve">, often referred to as "Mainhattan" due to its skyline dominated by banking towers, stands as the undisputed financial capital of continental Europe. Home to the European Central Bank (ECB), the Deutsche Bundesbank, and numerous major investment banks, this city represents a nexus of capital flow and regulatory scrutiny. Within this high-stakes environment, the profession of accounting is not merely supportive; it is foundational. The role of an</w:t>
      </w:r>
      <w:r>
        <w:t xml:space="preserve"> </w:t>
      </w:r>
      <w:r>
        <w:rPr>
          <w:bCs/>
          <w:b/>
        </w:rPr>
        <w:t xml:space="preserve">Accountant</w:t>
      </w:r>
      <w:r>
        <w:t xml:space="preserve"> </w:t>
      </w:r>
      <w:r>
        <w:t xml:space="preserve">in</w:t>
      </w:r>
      <w:r>
        <w:t xml:space="preserve"> </w:t>
      </w:r>
      <w:r>
        <w:rPr>
          <w:bCs/>
          <w:b/>
        </w:rPr>
        <w:t xml:space="preserve">Germany Frankfurt</w:t>
      </w:r>
    </w:p>
    <w:p>
      <w:pPr>
        <w:pStyle w:val="BodyText"/>
      </w:pPr>
      <w:r>
        <w:t xml:space="preserve">The significance of this paper lies in its focus on the localized nuances of accounting practices. While accounting principles are universal in theory, their application varies drastically by jurisdiction. In</w:t>
      </w:r>
      <w:r>
        <w:t xml:space="preserve"> </w:t>
      </w:r>
      <w:r>
        <w:rPr>
          <w:bCs/>
          <w:b/>
        </w:rPr>
        <w:t xml:space="preserve">Germany Frankfurt</w:t>
      </w:r>
      <w:r>
        <w:t xml:space="preserve">, professionals must navigate a dual system that requires rigorous adherence to German Commercial Code (HGB) for local reporting and International Financial Reporting Standards (IFRS) for consolidated group statements required by global entities based in the city. This duality creates a unique professional profile, demanding a hybrid skill set that combines legal precision with strategic foresight.</w:t>
      </w:r>
    </w:p>
    <w:bookmarkEnd w:id="20"/>
    <w:bookmarkStart w:id="23" w:name="Xe22e9cf8bf5f5170993483009239b26bdbdef93"/>
    <w:p>
      <w:pPr>
        <w:pStyle w:val="Heading2"/>
      </w:pPr>
      <w:r>
        <w:t xml:space="preserve">II. The Regulatory Landscape: Navigating Complexity</w:t>
      </w:r>
    </w:p>
    <w:p>
      <w:pPr>
        <w:pStyle w:val="FirstParagraph"/>
      </w:pPr>
      <w:r>
        <w:t xml:space="preserve">To understand the value of an</w:t>
      </w:r>
      <w:r>
        <w:t xml:space="preserve"> </w:t>
      </w:r>
      <w:r>
        <w:rPr>
          <w:bCs/>
          <w:b/>
        </w:rPr>
        <w:t xml:space="preserve">Accountant</w:t>
      </w:r>
      <w:r>
        <w:t xml:space="preserve">, one must first appreciate the regulatory burden carried by firms in</w:t>
      </w:r>
      <w:r>
        <w:t xml:space="preserve"> </w:t>
      </w:r>
      <w:r>
        <w:rPr>
          <w:bCs/>
          <w:b/>
        </w:rPr>
        <w:t xml:space="preserve">Germany Frankfurt</w:t>
      </w:r>
      <w:r>
        <w:t xml:space="preserve">. Germany is known for its robust legal framework and conservative approach to corporate governance, often described as "Rhineland Capitalism." For an accountant operating here, compliance is not optional; it is the baseline expectation.</w:t>
      </w:r>
    </w:p>
    <w:bookmarkStart w:id="21" w:name="a.-the-hgb-vs.-ifrs-dichotomy"/>
    <w:p>
      <w:pPr>
        <w:pStyle w:val="Heading3"/>
      </w:pPr>
      <w:r>
        <w:t xml:space="preserve">A. The HGB vs. IFRS Dichotomy</w:t>
      </w:r>
    </w:p>
    <w:p>
      <w:pPr>
        <w:pStyle w:val="FirstParagraph"/>
      </w:pPr>
      <w:r>
        <w:t xml:space="preserve">The primary challenge for an</w:t>
      </w:r>
      <w:r>
        <w:t xml:space="preserve"> </w:t>
      </w:r>
      <w:r>
        <w:rPr>
          <w:bCs/>
          <w:b/>
        </w:rPr>
        <w:t xml:space="preserve">Accountant</w:t>
      </w:r>
      <w:r>
        <w:t xml:space="preserve">Germany Frankfurt is mastering the interplay between HGB and IFRS. While multinational corporations listed on the Frankfurt Stock Exchange are required to prepare consolidated financial statements under IFRS, their individual subsidiaries often report under HGB. This necessitates a deep understanding of both systems. The accountant acts as the translator between local regulatory requirements and global investor expectations.</w:t>
      </w:r>
    </w:p>
    <w:p>
      <w:pPr>
        <w:pStyle w:val="BodyText"/>
      </w:pPr>
      <w:r>
        <w:t xml:space="preserve">Furthermore, recent updates to German tax law have introduced stringent reporting requirements for digital assets and cross-border transactions within the Eurozone. An accountant in</w:t>
      </w:r>
      <w:r>
        <w:t xml:space="preserve"> </w:t>
      </w:r>
      <w:r>
        <w:rPr>
          <w:bCs/>
          <w:b/>
        </w:rPr>
        <w:t xml:space="preserve">Germany Frankfurt</w:t>
      </w:r>
    </w:p>
    <w:bookmarkEnd w:id="21"/>
    <w:bookmarkStart w:id="22" w:name="X288ffc6d7a7421bf8a562451c7111188033500a"/>
    <w:p>
      <w:pPr>
        <w:pStyle w:val="Heading3"/>
      </w:pPr>
      <w:r>
        <w:t xml:space="preserve">B. Anti-Money Laundering (AML) and Compliance</w:t>
      </w:r>
    </w:p>
    <w:p>
      <w:pPr>
        <w:pStyle w:val="FirstParagraph"/>
      </w:pPr>
      <w:r>
        <w:t xml:space="preserve">Given</w:t>
      </w:r>
      <w:r>
        <w:t xml:space="preserve"> </w:t>
      </w:r>
      <w:r>
        <w:rPr>
          <w:bCs/>
          <w:b/>
        </w:rPr>
        <w:t xml:space="preserve">Germany Frankfurt</w:t>
      </w:r>
    </w:p>
    <w:bookmarkEnd w:id="22"/>
    <w:bookmarkEnd w:id="23"/>
    <w:bookmarkStart w:id="26" w:name="X1c655c03b1150eed5dd1c0e5093051e40b752c8"/>
    <w:p>
      <w:pPr>
        <w:pStyle w:val="Heading2"/>
      </w:pPr>
      <w:r>
        <w:t xml:space="preserve">III. Technological Transformation in Accounting</w:t>
      </w:r>
    </w:p>
    <w:p>
      <w:pPr>
        <w:pStyle w:val="FirstParagraph"/>
      </w:pPr>
      <w:r>
        <w:t xml:space="preserve">The integration of technology into accounting practices has been accelerated by the competitive pressure in</w:t>
      </w:r>
      <w:r>
        <w:t xml:space="preserve"> </w:t>
      </w:r>
      <w:r>
        <w:rPr>
          <w:bCs/>
          <w:b/>
        </w:rPr>
        <w:t xml:space="preserve">Germany Frankfurt</w:t>
      </w:r>
      <w:r>
        <w:t xml:space="preserve">. Traditional manual data entry is rapidly being replaced by automation tools, cloud-based solutions, and artificial intelligence (AI). However, this technological shift does not diminish the role of the accountant; rather, it elevates it.</w:t>
      </w:r>
    </w:p>
    <w:bookmarkStart w:id="24" w:name="a.-from-data-entry-to-data-analysis"/>
    <w:p>
      <w:pPr>
        <w:pStyle w:val="Heading3"/>
      </w:pPr>
      <w:r>
        <w:t xml:space="preserve">A. From Data Entry to Data Analysis</w:t>
      </w:r>
    </w:p>
    <w:p>
      <w:pPr>
        <w:pStyle w:val="FirstParagraph"/>
      </w:pPr>
      <w:r>
        <w:t xml:space="preserve">In</w:t>
      </w:r>
      <w:r>
        <w:t xml:space="preserve"> </w:t>
      </w:r>
      <w:r>
        <w:rPr>
          <w:bCs/>
          <w:b/>
        </w:rPr>
        <w:t xml:space="preserve">Germany Frankfurt</w:t>
      </w:r>
      <w:r>
        <w:t xml:space="preserve">, leading accounting firms are leveraging AI to handle routine tasks such as invoice processing and reconciliation. This allows an</w:t>
      </w:r>
      <w:r>
        <w:t xml:space="preserve"> </w:t>
      </w:r>
      <w:r>
        <w:rPr>
          <w:bCs/>
          <w:b/>
        </w:rPr>
        <w:t xml:space="preserve">Accountant</w:t>
      </w:r>
    </w:p>
    <w:p>
      <w:pPr>
        <w:pStyle w:val="BodyText"/>
      </w:pPr>
      <w:r>
        <w:t xml:space="preserve">For example, real-time analytics allow accountants to provide instant feedback on cash flow health to management teams. In the fast-paced environment of</w:t>
      </w:r>
      <w:r>
        <w:t xml:space="preserve"> </w:t>
      </w:r>
      <w:r>
        <w:rPr>
          <w:bCs/>
          <w:b/>
        </w:rPr>
        <w:t xml:space="preserve">Germany Frankfurt</w:t>
      </w:r>
      <w:r>
        <w:t xml:space="preserve">, where market conditions can shift rapidly, this ability to provide timely insights is crucial for maintaining competitive advantage.</w:t>
      </w:r>
    </w:p>
    <w:bookmarkEnd w:id="24"/>
    <w:bookmarkStart w:id="25" w:name="b.-cybersecurity-and-data-integrity"/>
    <w:p>
      <w:pPr>
        <w:pStyle w:val="Heading3"/>
      </w:pPr>
      <w:r>
        <w:t xml:space="preserve">B. Cybersecurity and Data Integrity</w:t>
      </w:r>
    </w:p>
    <w:p>
      <w:pPr>
        <w:pStyle w:val="FirstParagraph"/>
      </w:pPr>
      <w:r>
        <w:t xml:space="preserve">As financial data moves online, the risk of cyber threats increases. An accountant in this region must also act as a custodian of data integrity. Implementing robust cybersecurity measures is now part of the standard operating procedure for accounting firms in</w:t>
      </w:r>
      <w:r>
        <w:t xml:space="preserve"> </w:t>
      </w:r>
      <w:r>
        <w:rPr>
          <w:bCs/>
          <w:b/>
        </w:rPr>
        <w:t xml:space="preserve">Germany Frankfurt</w:t>
      </w:r>
      <w:r>
        <w:t xml:space="preserve">. The accountant ensures that financial information is not only accurate but also secure from breaches, maintaining the trust essential to banking relationships.</w:t>
      </w:r>
    </w:p>
    <w:bookmarkEnd w:id="25"/>
    <w:bookmarkEnd w:id="26"/>
    <w:bookmarkStart w:id="29" w:name="Xb9383f40f553d4aa7e2463f87c6d021480d6c08"/>
    <w:p>
      <w:pPr>
        <w:pStyle w:val="Heading2"/>
      </w:pPr>
      <w:r>
        <w:t xml:space="preserve">IV. Strategic Advisory: The Future Role of the Accountant</w:t>
      </w:r>
    </w:p>
    <w:p>
      <w:pPr>
        <w:pStyle w:val="FirstParagraph"/>
      </w:pPr>
      <w:r>
        <w:t xml:space="preserve">The future of accounting in</w:t>
      </w:r>
      <w:r>
        <w:t xml:space="preserve"> </w:t>
      </w:r>
      <w:r>
        <w:rPr>
          <w:bCs/>
          <w:b/>
        </w:rPr>
        <w:t xml:space="preserve">Germany Frankfurt lies in strategic advisory. As automation handles transactional work, the human element—judgment, ethics, and strategic thinking—becomes more valuable. An</w:t>
      </w:r>
      <w:r>
        <w:rPr>
          <w:bCs/>
          <w:b/>
        </w:rPr>
        <w:t xml:space="preserve"> </w:t>
      </w:r>
      <w:r>
        <w:rPr>
          <w:bCs/>
          <w:b/>
          <w:bCs/>
          <w:b/>
        </w:rPr>
        <w:t xml:space="preserve">Accountant</w:t>
      </w:r>
    </w:p>
    <w:bookmarkStart w:id="27" w:name="a.-sustainability-reporting-esg"/>
    <w:p>
      <w:pPr>
        <w:pStyle w:val="Heading3"/>
      </w:pPr>
      <w:r>
        <w:t xml:space="preserve">A. Sustainability Reporting (ESG)</w:t>
      </w:r>
    </w:p>
    <w:p>
      <w:pPr>
        <w:pStyle w:val="FirstParagraph"/>
      </w:pPr>
      <w:r>
        <w:t xml:space="preserve">A growing trend in</w:t>
      </w:r>
      <w:r>
        <w:t xml:space="preserve"> </w:t>
      </w:r>
      <w:r>
        <w:rPr>
          <w:bCs/>
          <w:b/>
        </w:rPr>
        <w:t xml:space="preserve">Germany Frankfurt</w:t>
      </w:r>
    </w:p>
    <w:bookmarkEnd w:id="27"/>
    <w:bookmarkStart w:id="28" w:name="b.-cross-border-collaboration"/>
    <w:p>
      <w:pPr>
        <w:pStyle w:val="Heading3"/>
      </w:pPr>
      <w:r>
        <w:t xml:space="preserve">B. Cross-Border Collaboration</w:t>
      </w:r>
    </w:p>
    <w:p>
      <w:pPr>
        <w:pStyle w:val="FirstParagraph"/>
      </w:pPr>
      <w:r>
        <w:t xml:space="preserve">Due to</w:t>
      </w:r>
      <w:r>
        <w:t xml:space="preserve"> </w:t>
      </w:r>
      <w:r>
        <w:rPr>
          <w:bCs/>
          <w:b/>
        </w:rPr>
        <w:t xml:space="preserve">Germany Frankfurt</w:t>
      </w:r>
    </w:p>
    <w:bookmarkEnd w:id="28"/>
    <w:bookmarkEnd w:id="29"/>
    <w:bookmarkStart w:id="30" w:name="v.-conclusion"/>
    <w:p>
      <w:pPr>
        <w:pStyle w:val="Heading2"/>
      </w:pPr>
      <w:r>
        <w:t xml:space="preserve">V. Conclusion</w:t>
      </w:r>
    </w:p>
    <w:p>
      <w:pPr>
        <w:pStyle w:val="FirstParagraph"/>
      </w:pPr>
      <w:r>
        <w:t xml:space="preserve">In conclusion, the role of the</w:t>
      </w:r>
      <w:r>
        <w:t xml:space="preserve"> </w:t>
      </w:r>
      <w:r>
        <w:rPr>
          <w:bCs/>
          <w:b/>
        </w:rPr>
        <w:t xml:space="preserve">Accountant</w:t>
      </w:r>
      <w:r>
        <w:t xml:space="preserve">Germany Frankfurt has evolved significantly. No longer confined to the back office, these professionals are central to the strategic decision-making processes of major financial institutions and corporations. They navigate a complex web of German regulations, international standards, and technological advancements.</w:t>
      </w:r>
    </w:p>
    <w:p>
      <w:pPr>
        <w:pStyle w:val="BodyText"/>
      </w:pPr>
      <w:r>
        <w:t xml:space="preserve">The significance of this evolution cannot be overstated. As</w:t>
      </w:r>
      <w:r>
        <w:t xml:space="preserve"> </w:t>
      </w:r>
      <w:r>
        <w:rPr>
          <w:bCs/>
          <w:b/>
        </w:rPr>
        <w:t xml:space="preserve">Germany Frankfurt</w:t>
      </w:r>
    </w:p>
    <w:p>
      <w:pPr>
        <w:pStyle w:val="BodyText"/>
      </w:pPr>
      <w:r>
        <w:t xml:space="preserve">Future research should focus on how artificial intelligence will further reshape these roles in</w:t>
      </w:r>
    </w:p>
    <w:p>
      <w:pPr>
        <w:pStyle w:val="BodyText"/>
      </w:pPr>
      <w:r>
        <w:t xml:space="preserve">Germany Frankfurt, particularly in areas such as predictive analytics and automated compliance checking. However, one thing remains clear: while tools change, the fundamental need for trusted financial guidance ensures that the accountant will remain an indispensable asset to the economic vitality of Germany and its most prominent city.</w:t>
      </w:r>
    </w:p>
    <w:bookmarkEnd w:id="30"/>
    <w:bookmarkStart w:id="31" w:name="vi.-references"/>
    <w:p>
      <w:pPr>
        <w:pStyle w:val="Heading2"/>
      </w:pPr>
      <w:r>
        <w:t xml:space="preserve">VI. References</w:t>
      </w:r>
    </w:p>
    <w:p>
      <w:pPr>
        <w:pStyle w:val="FirstParagraph"/>
      </w:pPr>
      <w:r>
        <w:rPr>
          <w:iCs/>
          <w:i/>
        </w:rPr>
        <w:t xml:space="preserve">Note: The following references are illustrative for this conference paper format.</w:t>
      </w:r>
    </w:p>
    <w:p>
      <w:pPr>
        <w:pStyle w:val="BodyText"/>
      </w:pPr>
      <w:r>
        <w:t xml:space="preserve">[1] German Federal Ministry of Justice. (2023).</w:t>
      </w:r>
      <w:r>
        <w:t xml:space="preserve"> </w:t>
      </w:r>
      <w:r>
        <w:rPr>
          <w:bCs/>
          <w:b/>
        </w:rPr>
        <w:t xml:space="preserve">HGB</w:t>
      </w:r>
      <w:r>
        <w:t xml:space="preserve">: Handelsgesetzbuch (Commercial Code).</w:t>
      </w:r>
    </w:p>
    <w:p>
      <w:pPr>
        <w:pStyle w:val="BodyText"/>
      </w:pPr>
      <w:r>
        <w:t xml:space="preserve">[2] European Central Bank. (2024). Annual Report on Financial Stability in the Eurozone.</w:t>
      </w:r>
    </w:p>
    <w:p>
      <w:pPr>
        <w:pStyle w:val="BodyText"/>
      </w:pPr>
      <w:r>
        <w:t xml:space="preserve">[3] International Federation of Accountants. (2023). Global Economic Outlook and Accounting Trends.</w:t>
      </w:r>
    </w:p>
    <w:p>
      <w:pPr>
        <w:pStyle w:val="BodyText"/>
      </w:pPr>
      <w:r>
        <w:t xml:space="preserve">[4] German Institute for Standardization. (DIN). ISO Standards for Financial Reporting and Data Security.</w:t>
      </w:r>
    </w:p>
    <w:p>
      <w:pPr>
        <w:pStyle w:val="BodyText"/>
      </w:pPr>
      <w:r>
        <w:t xml:space="preserve">[5] Frankfurt School of Finance &amp; Management. (2023). The Impact of Fintech on Traditional Banking Services in</w:t>
      </w:r>
      <w:r>
        <w:t xml:space="preserve"> </w:t>
      </w:r>
      <w:r>
        <w:rPr>
          <w:bCs/>
          <w:b/>
        </w:rPr>
        <w:t xml:space="preserve">Germany Frankfurt</w:t>
      </w:r>
      <w:r>
        <w:t xml:space="preser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and Evolution of the Accountant in Germany Frankfurt</dc:title>
  <dc:creator/>
  <dc:language>en</dc:language>
  <cp:keywords/>
  <dcterms:created xsi:type="dcterms:W3CDTF">2026-07-29T02:02:17Z</dcterms:created>
  <dcterms:modified xsi:type="dcterms:W3CDTF">2026-07-29T02:02:17Z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