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28" w:name="Xc7632de3ef71ee219f950c9cb2a28a6d8d36204"/>
    <w:p>
      <w:pPr>
        <w:pStyle w:val="Heading1"/>
      </w:pPr>
      <w:r>
        <w:t xml:space="preserve">The Evolving Role of the Accountant in the Dynamic Economic Landscape of Malaysia Kuala Lumpur</w:t>
      </w:r>
    </w:p>
    <w:p>
      <w:pPr>
        <w:pStyle w:val="FirstParagraph"/>
      </w:pPr>
      <w:r>
        <w:rPr>
          <w:bCs/>
          <w:b/>
        </w:rPr>
        <w:t xml:space="preserve">A. Professional Researcher</w:t>
      </w:r>
      <w:r>
        <w:br/>
      </w:r>
      <w:r>
        <w:t xml:space="preserve">Department of Financial Studies, Kuala Lumpur University</w:t>
      </w:r>
      <w:r>
        <w:br/>
      </w:r>
      <w:r>
        <w:t xml:space="preserve">Email: a.professional@klu.edu.my</w:t>
      </w:r>
    </w:p>
    <w:bookmarkStart w:id="20" w:name="abstract"/>
    <w:p>
      <w:pPr>
        <w:pStyle w:val="Heading3"/>
      </w:pPr>
      <w:r>
        <w:t xml:space="preserve">Abstract</w:t>
      </w:r>
    </w:p>
    <w:p>
      <w:pPr>
        <w:pStyle w:val="FirstParagraph"/>
      </w:pPr>
      <w:r>
        <w:t xml:space="preserve">This paper examines the critical transformation of the Accountant profession within the specific geographical and economic context of Malaysia Kuala Lumpur. As a premier financial hub in Southeast Asia, Kuala Lumpur presents unique challenges and opportunities for accounting professionals. This study analyzes how local accountants are adapting to global regulatory standards, digital transformation, and the specific needs of multinational corporations headquartered in this metropolis. The findings suggest that the modern Accountant in Malaysia Kuala Lumpur must transcend traditional bookkeeping roles to become strategic business partners, leveraging technology while maintaining strict adherence to Malaysian regulatory frameworks.</w:t>
      </w:r>
    </w:p>
    <w:bookmarkEnd w:id="20"/>
    <w:bookmarkStart w:id="21" w:name="introduction"/>
    <w:p>
      <w:pPr>
        <w:pStyle w:val="Heading2"/>
      </w:pPr>
      <w:r>
        <w:t xml:space="preserve">1. Introduction</w:t>
      </w:r>
    </w:p>
    <w:p>
      <w:pPr>
        <w:pStyle w:val="FirstParagraph"/>
      </w:pPr>
      <w:r>
        <w:t xml:space="preserve">The role of finance is central to the stability and growth of any economy. However, the specific demands placed on financial professionals vary significantly depending on the geographical location and economic structure of the region. In this context, Malaysia Kuala Lumpur stands out as a critical node in the global financial network. As a city that serves as both the political capital and a major commercial hub for Southeast Asia, Kuala Lumpur hosts thousands of multinational corporations (MNCs), regional headquarters, and growing local enterprises.</w:t>
      </w:r>
    </w:p>
    <w:p>
      <w:pPr>
        <w:pStyle w:val="BodyText"/>
      </w:pPr>
      <w:r>
        <w:t xml:space="preserve">Within this bustling ecosystem, the Accountant is no longer merely a recorder of historical financial data. The profession is undergoing a paradigm shift driven by rapid technological adoption, evolving tax laws under the Malaysian Inland Revenue Board (LHDN), and intense competition from neighboring jurisdictions in Malaysia Kuala Lumpur. This paper aims to delineate these changes, exploring how an Accountant operating in this specific locale must balance local compliance with international best practices.</w:t>
      </w:r>
    </w:p>
    <w:bookmarkEnd w:id="21"/>
    <w:bookmarkStart w:id="22" w:name="X043f2bb99906c22a2e46704f857b6de917bada7"/>
    <w:p>
      <w:pPr>
        <w:pStyle w:val="Heading2"/>
      </w:pPr>
      <w:r>
        <w:t xml:space="preserve">2. The Regulatory Landscape: Navigating Compliance in Malaysia Kuala Lumpur</w:t>
      </w:r>
    </w:p>
    <w:p>
      <w:pPr>
        <w:pStyle w:val="FirstParagraph"/>
      </w:pPr>
      <w:r>
        <w:t xml:space="preserve">To understand the modern Accountant, one must first understand the regulatory environment of Malaysia Kuala Lumpur. The accounting profession here is governed by a rigorous framework involving several key bodies, including the Malaysian Institute of Accountants (MIA) and the Companies Commission of Malaysia (SSM). For an Accountant based in Kuala Lumpur, strict adherence to Malaysian Financial Reporting Standards (MFRS) is not optional; it is a legal imperative.</w:t>
      </w:r>
    </w:p>
    <w:p>
      <w:pPr>
        <w:pStyle w:val="BodyText"/>
      </w:pPr>
      <w:r>
        <w:t xml:space="preserve">Furthermore, the complexity arises from Kuala Lumpur's status as a global city. An Accountant here frequently deals with cross-border transactions that require knowledge of International Financial Reporting Standards (IFRS), which are largely converged with MFRS. However, local nuances remain significant. For instance, the Goods and Services Tax (GST) was replaced by the Sales and Service Tax (SST), a shift that required Accountants to rapidly restructure their compliance workflows. This constant regulatory flux requires Accountants in Malaysia Kuala Lumpur to engage in continuous professional development, ensuring they are not only compliant but also proactive in anticipating legislative changes.</w:t>
      </w:r>
    </w:p>
    <w:bookmarkEnd w:id="22"/>
    <w:bookmarkStart w:id="23" w:name="digital-transformation-and-automation"/>
    <w:p>
      <w:pPr>
        <w:pStyle w:val="Heading2"/>
      </w:pPr>
      <w:r>
        <w:t xml:space="preserve">3. Digital Transformation and Automation</w:t>
      </w:r>
    </w:p>
    <w:p>
      <w:pPr>
        <w:pStyle w:val="FirstParagraph"/>
      </w:pPr>
      <w:r>
        <w:t xml:space="preserve">The most significant disruption affecting the Accountant profession globally has been digitalization, and Kuala Lumpur is no exception. The Malaysian government’s "MyDIGITAL" initiative has accelerated the adoption of cloud computing, artificial intelligence (AI), and robotic process automation (RPA) across various sectors, including finance. In Malaysia Kuala Lumpur, firms are increasingly moving away from manual data entry toward automated accounting systems.</w:t>
      </w:r>
    </w:p>
    <w:p>
      <w:pPr>
        <w:pStyle w:val="BodyText"/>
      </w:pPr>
      <w:r>
        <w:t xml:space="preserve">For the contemporary Accountant, this means a shift in skillset. Technical proficiency in software such as SAP Oracle, Xero, and local platforms tailored for Malaysian tax filing is now baseline expectation. The Accountant’s value proposition has shifted from calculation to interpretation. By automating routine tasks, an Accountant can focus on strategic forecasting and risk management. In the competitive market of Malaysia Kuala Lumpur, where efficiency is paramount, firms that leverage technology gain a distinct advantage in serving clients who demand real-time financial insights rather than monthly reports.</w:t>
      </w:r>
    </w:p>
    <w:bookmarkEnd w:id="23"/>
    <w:bookmarkStart w:id="24" w:name="strategic-business-partnering"/>
    <w:p>
      <w:pPr>
        <w:pStyle w:val="Heading2"/>
      </w:pPr>
      <w:r>
        <w:t xml:space="preserve">4. Strategic Business Partnering</w:t>
      </w:r>
    </w:p>
    <w:p>
      <w:pPr>
        <w:pStyle w:val="FirstParagraph"/>
      </w:pPr>
      <w:r>
        <w:t xml:space="preserve">In addition to technical skills, the soft skills required of an Accountant have evolved dramatically. In the high-stakes environment of Malaysia Kuala Lumpur, business decisions are often made at a rapid pace. Stakeholders do not just want to know what happened in the past; they want to know where the business is heading.</w:t>
      </w:r>
    </w:p>
    <w:p>
      <w:pPr>
        <w:pStyle w:val="BodyText"/>
      </w:pPr>
      <w:r>
        <w:t xml:space="preserve">Consequently, the Accountant has become a strategic advisor. Whether working within an MNC headquartered in the Golden Triangle of Kuala Lumpur or advising local SMEs, Accountants are now expected to provide actionable insights on cash flow management, investment opportunities, and operational efficiency. For example, during periods of economic uncertainty affecting Southeast Asia supply chains, Accountants play a crucial role in scenario planning. This strategic role is particularly evident in Malaysia Kuala Lumpur’s property and construction sectors, where complex financing structures require nuanced financial analysis provided by skilled Accountants.</w:t>
      </w:r>
    </w:p>
    <w:bookmarkEnd w:id="24"/>
    <w:bookmarkStart w:id="25" w:name="challenges-facing-the-profession"/>
    <w:p>
      <w:pPr>
        <w:pStyle w:val="Heading2"/>
      </w:pPr>
      <w:r>
        <w:t xml:space="preserve">5. Challenges Facing the Profession</w:t>
      </w:r>
    </w:p>
    <w:p>
      <w:pPr>
        <w:pStyle w:val="FirstParagraph"/>
      </w:pPr>
      <w:r>
        <w:t xml:space="preserve">Despite the opportunities, Accountants in Malaysia Kuala Lumpur face distinct challenges. One major issue is the talent gap. While there is an abundance of graduates, there is a shortage of professionals who possess both deep technical expertise and strategic business acumen. The competition for top talent among Big Four firms and local consultancies in Kuala Lumpur has intensified salary expectations, creating pressure on smaller firms.</w:t>
      </w:r>
    </w:p>
    <w:p>
      <w:pPr>
        <w:pStyle w:val="BodyText"/>
      </w:pPr>
      <w:r>
        <w:t xml:space="preserve">Additionally, ethical challenges remain paramount. With increased scrutiny from regulators in Malaysia Kuala Lumpur regarding corporate governance, Accountants must maintain the highest standards of integrity. High-profile corporate scandals in the region have led to stricter enforcement actions, making ethical compliance a core component of an Accountant’s daily responsibilities.</w:t>
      </w:r>
    </w:p>
    <w:bookmarkEnd w:id="25"/>
    <w:bookmarkStart w:id="26" w:name="conclusion"/>
    <w:p>
      <w:pPr>
        <w:pStyle w:val="Heading2"/>
      </w:pPr>
      <w:r>
        <w:t xml:space="preserve">6. Conclusion</w:t>
      </w:r>
    </w:p>
    <w:p>
      <w:pPr>
        <w:pStyle w:val="FirstParagraph"/>
      </w:pPr>
      <w:r>
        <w:t xml:space="preserve">In conclusion, the profile of an Accountant in Malaysia Kuala Lumpur is undergoing a profound transformation. The traditional image of the silent number-cruncher has been replaced by that of a dynamic, tech-savvy strategic partner. To remain relevant and effective in this vibrant economic hub, Accountants must embrace digital tools, maintain rigorous compliance with Malaysian regulations, and develop strong advisory skills.</w:t>
      </w:r>
    </w:p>
    <w:p>
      <w:pPr>
        <w:pStyle w:val="BodyText"/>
      </w:pPr>
      <w:r>
        <w:t xml:space="preserve">As Malaysia Kuala Lumpur continues to solidify its position as a leading financial center in Asia, the demand for high-quality accounting services will only grow. The future belongs to Accountants who can navigate the complexities of global standards while respecting local traditions, ultimately driving sustainable growth for businesses in the region. For policymakers and educational institutions, fostering these hybrid skills is essential to maintaining the competitiveness of Malaysia Kuala Lumpur’s financial sector.</w:t>
      </w:r>
    </w:p>
    <w:bookmarkEnd w:id="26"/>
    <w:bookmarkStart w:id="27" w:name="references"/>
    <w:p>
      <w:pPr>
        <w:pStyle w:val="Heading2"/>
      </w:pPr>
      <w:r>
        <w:t xml:space="preserve">References</w:t>
      </w:r>
    </w:p>
    <w:p>
      <w:pPr>
        <w:numPr>
          <w:ilvl w:val="0"/>
          <w:numId w:val="1001"/>
        </w:numPr>
        <w:pStyle w:val="Compact"/>
      </w:pPr>
      <w:r>
        <w:t xml:space="preserve">Malaysian Institute of Accountants (MIA). (2023). *Code of Professional Ethics and Conduct*. Kuala Lumpur: MIA Publishing.</w:t>
      </w:r>
    </w:p>
    <w:p>
      <w:pPr>
        <w:numPr>
          <w:ilvl w:val="0"/>
          <w:numId w:val="1001"/>
        </w:numPr>
        <w:pStyle w:val="Compact"/>
      </w:pPr>
      <w:r>
        <w:t xml:space="preserve">Central Bank of Malaysia. (2024). *Financial Sector Blueprint 3.0*. Kuala Lumpur: BNM Publications.</w:t>
      </w:r>
    </w:p>
    <w:p>
      <w:pPr>
        <w:numPr>
          <w:ilvl w:val="0"/>
          <w:numId w:val="1001"/>
        </w:numPr>
        <w:pStyle w:val="Compact"/>
      </w:pPr>
      <w:r>
        <w:t xml:space="preserve">Inland Revenue Board of Malaysia (LHDN). (2023). *Income Tax Act and SST Guidelines*. Putrajaya: LHDN.</w:t>
      </w:r>
    </w:p>
    <w:p>
      <w:pPr>
        <w:numPr>
          <w:ilvl w:val="0"/>
          <w:numId w:val="1001"/>
        </w:numPr>
        <w:pStyle w:val="Compact"/>
      </w:pPr>
      <w:r>
        <w:t xml:space="preserve">Singh, A., &amp; Lee, T. (2022). "Digital Transformation in Malaysian SMEs: The Role of the Accountant." *Journal of Asian Finance, Economics and Business*, 9(4),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Dynamic Economic Landscape of Malaysia Kuala Lumpur</dc:title>
  <dc:creator/>
  <dc:language>en</dc:language>
  <cp:keywords/>
  <dcterms:created xsi:type="dcterms:W3CDTF">2026-07-29T16:07:53Z</dcterms:created>
  <dcterms:modified xsi:type="dcterms:W3CDTF">2026-07-29T16:07:53Z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