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20" w:name="X469e2db6bb2244faeeb5e527a727ed5cd25855c"/>
    <w:p>
      <w:pPr>
        <w:pStyle w:val="Heading1"/>
      </w:pPr>
      <w:r>
        <w:t xml:space="preserve">The Evolving Role of the Accountant in Saudi Arabia Riyadh: Navigating Vision 2030 and Digital Transformation</w:t>
      </w:r>
    </w:p>
    <w:p>
      <w:pPr>
        <w:pStyle w:val="FirstParagraph"/>
      </w:pPr>
      <w:r>
        <w:rPr>
          <w:bCs/>
          <w:b/>
        </w:rPr>
        <w:t xml:space="preserve">A Conference Paper Submission</w:t>
      </w:r>
    </w:p>
    <w:p>
      <w:pPr>
        <w:pStyle w:val="BodyText"/>
      </w:pPr>
      <w:r>
        <w:rPr>
          <w:iCs/>
          <w:i/>
        </w:rPr>
        <w:t xml:space="preserve">Presented at the International Summit on Financial Innovation and Governance in the Middle East</w:t>
      </w:r>
    </w:p>
    <w:bookmarkEnd w:id="20"/>
    <w:bookmarkStart w:id="21" w:name="abstract"/>
    <w:p>
      <w:pPr>
        <w:pStyle w:val="Heading3"/>
      </w:pPr>
      <w:r>
        <w:t xml:space="preserve">Abstract</w:t>
      </w:r>
    </w:p>
    <w:p>
      <w:pPr>
        <w:pStyle w:val="FirstParagraph"/>
      </w:pPr>
      <w:r>
        <w:t xml:space="preserve">This paper examines the transformative impact of Saudi Vision 2030 on the accounting profession, with a specific focus on Riyadh as the administrative and economic hub of Saudi Arabia. As Riyadh transitions into a global business center, the role of the Accountant is shifting from traditional compliance to strategic advisory and digital leadership. This study analyzes current challenges regarding regulatory changes, technological adoption (specifically ZATCA Phase 2), and human capital development within Saudi Arabia Riyadh’s dynamic market. The findings suggest that while opportunities abound for accountants who embrace continuous learning and ethical governance, significant hurdles remain in bridging the skills gap required to support a diversified economy.</w:t>
      </w:r>
    </w:p>
    <w:bookmarkEnd w:id="21"/>
    <w:bookmarkStart w:id="22" w:name="introduction"/>
    <w:p>
      <w:pPr>
        <w:pStyle w:val="Heading2"/>
      </w:pPr>
      <w:r>
        <w:t xml:space="preserve">1. Introduction</w:t>
      </w:r>
    </w:p>
    <w:p>
      <w:pPr>
        <w:pStyle w:val="FirstParagraph"/>
      </w:pPr>
      <w:r>
        <w:t xml:space="preserve">Saudi Arabia Riyadh has long served as the historical heart of the Kingdom’s administrative and commercial activities. However, in recent years, it has undergone a metamorphosis that rivals any major global financial district. Driven by the ambitious framework of Saudi Vision 2030, Riyadh is no longer just a regional hub but is positioning itself as a top-15 global city in terms of economic diversity and quality of life. At the center of this transformation lies the critical need for robust financial governance, transparency, and strategic fiscal management.</w:t>
      </w:r>
    </w:p>
    <w:p>
      <w:pPr>
        <w:pStyle w:val="BodyText"/>
      </w:pPr>
      <w:r>
        <w:t xml:space="preserve">In this context, the Accountant emerges not merely as a number-cruncher but as a pivotal stakeholder in national development. The traditional scope of accounting—focused on historical record-keeping and statutory compliance—is rapidly expanding. Today’s Accountant in Saudi Arabia Riyadh must navigate complex international financial reporting standards (IFRS), adhere to stringent anti-money laundering regulations, and leverage artificial intelligence for predictive analytics. This paper argues that the modernization of the accounting sector in Saudi Arabia Riyadh is essential to sustaining foreign direct investment (FDI) and supporting non-oil revenue growth.</w:t>
      </w:r>
    </w:p>
    <w:bookmarkEnd w:id="22"/>
    <w:bookmarkStart w:id="24" w:name="regulatory-environment"/>
    <w:bookmarkStart w:id="23" w:name="the-regulatory-landscape-zatca-and-ifrs"/>
    <w:p>
      <w:pPr>
        <w:pStyle w:val="Heading2"/>
      </w:pPr>
      <w:r>
        <w:t xml:space="preserve">2. The Regulatory Landscape: ZATCA and IFRS</w:t>
      </w:r>
    </w:p>
    <w:p>
      <w:pPr>
        <w:pStyle w:val="FirstParagraph"/>
      </w:pPr>
      <w:r>
        <w:t xml:space="preserve">A primary driver of change for the Accountant in Saudi Arabia Riyadh is the aggressive digitalization agenda led by the Zakat, Tax and Customs Authority (ZATCA). The mandatory implementation of E-Invoicing (Fatoora) in two phases represents a seismic shift for businesses operating in Saudi Arabia Riyadh. For the Accountant, this necessitates a deep technical understanding of integration between enterprise resource planning (ERP) systems and ZATCA’s portals.</w:t>
      </w:r>
    </w:p>
    <w:p>
      <w:pPr>
        <w:pStyle w:val="BodyText"/>
      </w:pPr>
      <w:r>
        <w:t xml:space="preserve">Furthermore, the convergence with International Financial Reporting Standards (IFRS) has raised the bar for financial transparency. Accountants must now ensure that financial statements are comparable globally while respecting local Shariah-compliant financial principles where applicable. This dual requirement creates a unique challenge for professionals in Saudi Arabia Riyadh, who must possess both technical accounting expertise and cultural-religious literacy. The inability to master these regulatory frameworks can lead to severe penalties for organizations, thereby elevating the Accountant’s role as a risk manager.</w:t>
      </w:r>
    </w:p>
    <w:bookmarkEnd w:id="23"/>
    <w:bookmarkEnd w:id="24"/>
    <w:bookmarkStart w:id="26" w:name="technological-integration"/>
    <w:bookmarkStart w:id="25" w:name="Xcf2791aface5e0535cc593c74e9431e5bc2c463"/>
    <w:p>
      <w:pPr>
        <w:pStyle w:val="Heading2"/>
      </w:pPr>
      <w:r>
        <w:t xml:space="preserve">3. Technology and Automation: From Data Entry to Strategic Insight</w:t>
      </w:r>
    </w:p>
    <w:p>
      <w:pPr>
        <w:pStyle w:val="FirstParagraph"/>
      </w:pPr>
      <w:r>
        <w:t xml:space="preserve">The digital economy is reshaping the core functions of accounting. In Saudi Arabia Riyadh, large enterprises and multinational corporations are increasingly adopting automation tools, robotic process automation (RPA), and blockchain technology for audit trails. For the Accountant, this means that manual data entry tasks are becoming obsolete.</w:t>
      </w:r>
    </w:p>
    <w:p>
      <w:pPr>
        <w:pStyle w:val="BodyText"/>
      </w:pPr>
      <w:r>
        <w:t xml:space="preserve">Consequently, the value proposition of an Accountant in Saudi Arabia Riyadh is shifting towards data interpretation and strategic decision-making. Professionals must be proficient in using advanced analytics software to provide insights on cash flow forecasting, cost optimization, and investment risks. This technological shift requires significant upskilling. Universities and professional bodies within Saudi Arabia Riyadh are responding by introducing curricula focused on data science alongside traditional accounting principles, ensuring that the next generation of Accountants is tech-savvy.</w:t>
      </w:r>
    </w:p>
    <w:bookmarkEnd w:id="25"/>
    <w:bookmarkEnd w:id="26"/>
    <w:bookmarkStart w:id="28" w:name="challenges"/>
    <w:bookmarkStart w:id="27" w:name="Xb40957ff56723ed95cc296bcc9cc6905b874d69"/>
    <w:p>
      <w:pPr>
        <w:pStyle w:val="Heading2"/>
      </w:pPr>
      <w:r>
        <w:t xml:space="preserve">4. Human Capital Development and Localization (Saudization)</w:t>
      </w:r>
    </w:p>
    <w:p>
      <w:pPr>
        <w:pStyle w:val="FirstParagraph"/>
      </w:pPr>
      <w:r>
        <w:t xml:space="preserve">A critical aspect of the current landscape in Saudi Arabia Riyadh is the Saudization policy (Nitaqat), which mandates the employment of Saudi nationals in various sectors, including finance. While this policy aims to reduce unemployment and empower local talent, it presents a temporary skills gap. Many junior and mid-level accounting roles previously held by expatriates must now be filled by Saudi professionals.</w:t>
      </w:r>
    </w:p>
    <w:p>
      <w:pPr>
        <w:pStyle w:val="BodyText"/>
      </w:pPr>
      <w:r>
        <w:t xml:space="preserve">This creates a paradox: there is high demand for Accountants in Saudi Arabia Riyadh, but the immediate availability of highly experienced local candidates is limited. To address this, professional certification bodies such as the Chartered Professional Accountants of Canada (CPA) or ACCA have strengthened their partnerships with Saudi institutions to facilitate knowledge transfer. The modern Accountant in Saudi Arabia Riyadh must therefore be a lifelong learner, constantly updating certifications to meet global standards while contributing to the national vision of self-reliance.</w:t>
      </w:r>
    </w:p>
    <w:bookmarkEnd w:id="27"/>
    <w:bookmarkEnd w:id="28"/>
    <w:bookmarkStart w:id="30" w:name="opportunities"/>
    <w:bookmarkStart w:id="29" w:name="opportunities-in-a-diversifying-economy"/>
    <w:p>
      <w:pPr>
        <w:pStyle w:val="Heading2"/>
      </w:pPr>
      <w:r>
        <w:t xml:space="preserve">5. Opportunities in a Diversifying Economy</w:t>
      </w:r>
    </w:p>
    <w:p>
      <w:pPr>
        <w:pStyle w:val="FirstParagraph"/>
      </w:pPr>
      <w:r>
        <w:t xml:space="preserve">Vision 2030 aims to diversify Saudi Arabia’s economy away from oil dependence, focusing on sectors such as tourism, mining, renewable energy, and entertainment. Each of these sectors presents unique accounting challenges and opportunities. For instance:</w:t>
      </w:r>
    </w:p>
    <w:p>
      <w:pPr>
        <w:numPr>
          <w:ilvl w:val="0"/>
          <w:numId w:val="1001"/>
        </w:numPr>
        <w:pStyle w:val="Compact"/>
      </w:pPr>
      <w:r>
        <w:rPr>
          <w:bCs/>
          <w:b/>
        </w:rPr>
        <w:t xml:space="preserve">Tourism and Hospitality:</w:t>
      </w:r>
      <w:r>
        <w:t xml:space="preserve"> </w:t>
      </w:r>
      <w:r>
        <w:t xml:space="preserve">Requires complex revenue recognition models for hospitality services in Riyadh’s booming hotel sector.</w:t>
      </w:r>
    </w:p>
    <w:p>
      <w:pPr>
        <w:numPr>
          <w:ilvl w:val="0"/>
          <w:numId w:val="1001"/>
        </w:numPr>
        <w:pStyle w:val="Compact"/>
      </w:pPr>
      <w:r>
        <w:rPr>
          <w:bCs/>
          <w:b/>
        </w:rPr>
        <w:t xml:space="preserve">Retail Sector:</w:t>
      </w:r>
      <w:r>
        <w:t xml:space="preserve"> </w:t>
      </w:r>
      <w:r>
        <w:t xml:space="preserve">With the rise of e-commerce platforms based in Saudi Arabia Riyadh, Accountants must manage cross-border VAT implications and digital service taxes.</w:t>
      </w:r>
    </w:p>
    <w:p>
      <w:pPr>
        <w:numPr>
          <w:ilvl w:val="0"/>
          <w:numId w:val="1001"/>
        </w:numPr>
        <w:pStyle w:val="Compact"/>
      </w:pPr>
      <w:r>
        <w:rPr>
          <w:bCs/>
          <w:b/>
        </w:rPr>
        <w:t xml:space="preserve">SME Growth:</w:t>
      </w:r>
      <w:r>
        <w:t xml:space="preserve"> </w:t>
      </w:r>
      <w:r>
        <w:t xml:space="preserve">The push for Small and Medium Enterprises (SMEs) to contribute more to GDP means there is a growing need for Accountants who can provide advisory services to startups, helping them navigate funding landscapes and compliance.</w:t>
      </w:r>
    </w:p>
    <w:p>
      <w:pPr>
        <w:pStyle w:val="FirstParagraph"/>
      </w:pPr>
      <w:r>
        <w:t xml:space="preserve">This diversification implies that the Accountant in Saudi Arabia Riyadh must be versatile. Specialization is becoming as important as general competence. An Accountant specializing in ESG (Environmental, Social, and Governance) reporting will find increasing demand as global investors scrutinize the sustainability credentials of companies operating in Riyadh.</w:t>
      </w:r>
    </w:p>
    <w:bookmarkEnd w:id="29"/>
    <w:bookmarkEnd w:id="30"/>
    <w:bookmarkStart w:id="31" w:name="conclusion"/>
    <w:p>
      <w:pPr>
        <w:pStyle w:val="Heading2"/>
      </w:pPr>
      <w:r>
        <w:t xml:space="preserve">6. Conclusion</w:t>
      </w:r>
    </w:p>
    <w:p>
      <w:pPr>
        <w:pStyle w:val="FirstParagraph"/>
      </w:pPr>
      <w:r>
        <w:t xml:space="preserve">The role of the Accountant in Saudi Arabia Riyadh is undergoing a profound evolution, driven by Vision 2030, regulatory rigor, and technological disruption. No longer confined to back-office operations, the modern Accountant is a strategic partner essential for navigating the complexities of a rapidly globalizing economy. For professionals in Saudi Arabia Riyadh to remain relevant and effective, they must embrace digital literacy, adhere strictly to evolving ethical standards, and commit to continuous professional development.</w:t>
      </w:r>
    </w:p>
    <w:p>
      <w:pPr>
        <w:pStyle w:val="BodyText"/>
      </w:pPr>
      <w:r>
        <w:t xml:space="preserve">As Riyadh cements its status as a global economic powerhouse, the Accountant will serve as the guardian of financial integrity and the architect of sustainable growth. The challenges are significant, but for those who adapt, the opportunities in Saudi Arabia Riyadh are unparalleled. It is imperative that policymakers, educational institutions, and professional bodies continue to collaborate to ensure that the accounting workforce is equipped to meet these future demands.</w:t>
      </w:r>
    </w:p>
    <w:bookmarkEnd w:id="31"/>
    <w:bookmarkStart w:id="32" w:name="references"/>
    <w:p>
      <w:pPr>
        <w:pStyle w:val="Heading3"/>
      </w:pPr>
      <w:r>
        <w:t xml:space="preserve">References</w:t>
      </w:r>
    </w:p>
    <w:p>
      <w:pPr>
        <w:numPr>
          <w:ilvl w:val="0"/>
          <w:numId w:val="1002"/>
        </w:numPr>
        <w:pStyle w:val="Compact"/>
      </w:pPr>
      <w:r>
        <w:t xml:space="preserve">Saudi Vision 2030 Framework. (2016). Royal Commission for Riyadh City. Kingdom of Saudi Arabia.</w:t>
      </w:r>
    </w:p>
    <w:p>
      <w:pPr>
        <w:numPr>
          <w:ilvl w:val="0"/>
          <w:numId w:val="1002"/>
        </w:numPr>
        <w:pStyle w:val="Compact"/>
      </w:pPr>
      <w:r>
        <w:t xml:space="preserve">Zakat, Tax and Customs Authority (ZATCA). (2023). E-Invoicing Guidelines for Phase 1 and Phase 2 Implementation in Saudi Arabia.</w:t>
      </w:r>
    </w:p>
    <w:p>
      <w:pPr>
        <w:numPr>
          <w:ilvl w:val="0"/>
          <w:numId w:val="1002"/>
        </w:numPr>
        <w:pStyle w:val="Compact"/>
      </w:pPr>
      <w:r>
        <w:t xml:space="preserve">International Federation of Accountants (IFAC). (2024). Global Talent Trends: The Future of Accounting in Emerging Markets.</w:t>
      </w:r>
    </w:p>
    <w:p>
      <w:pPr>
        <w:numPr>
          <w:ilvl w:val="0"/>
          <w:numId w:val="1002"/>
        </w:numPr>
        <w:pStyle w:val="Compact"/>
      </w:pPr>
      <w:r>
        <w:t xml:space="preserve">National Center for Performance Measurement (NCPM). (2023). Annual Report on Human Capital Development in the Financial Sector, Saudi Arabia.</w:t>
      </w:r>
    </w:p>
    <w:p>
      <w:pPr>
        <w:numPr>
          <w:ilvl w:val="0"/>
          <w:numId w:val="1002"/>
        </w:numPr>
        <w:pStyle w:val="Compact"/>
      </w:pPr>
      <w:r>
        <w:t xml:space="preserve">KPMG Middle East. (2023). Doing Business in Saudi Arabia: Regulatory Updates and Financial Compliance Trends.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Saudi Arabia Riyadh: Navigating Vision 2030 and Digital Transformation</dc:title>
  <dc:creator/>
  <dc:language>en</dc:language>
  <cp:keywords/>
  <dcterms:created xsi:type="dcterms:W3CDTF">2026-07-29T05:55:07Z</dcterms:created>
  <dcterms:modified xsi:type="dcterms:W3CDTF">2026-07-29T05:55:07Z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