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33" w:name="X576ccaea01f6ccb6862bb13f5003232ab962f95"/>
    <w:p>
      <w:pPr>
        <w:pStyle w:val="Heading1"/>
      </w:pPr>
      <w:r>
        <w:t xml:space="preserve">The Evolving Role of the Architect in the Context of Australia Melbourne</w:t>
      </w:r>
    </w:p>
    <w:p>
      <w:pPr>
        <w:pStyle w:val="FirstParagraph"/>
      </w:pPr>
      <w:r>
        <w:rPr>
          <w:bCs/>
          <w:b/>
        </w:rPr>
        <w:t xml:space="preserve">Abstract</w:t>
      </w:r>
    </w:p>
    <w:p>
      <w:pPr>
        <w:pStyle w:val="BodyText"/>
      </w:pPr>
      <w:r>
        <w:t xml:space="preserve">This paper explores the multifaceted role of an architect within the rapidly transforming urban landscape of Australia, specifically focusing on Melbourne. As a global city renowned for its cultural vibrancy, architectural heritage, and progressive sustainability goals, Melbourne presents a unique case study for contemporary architectural practice. This document analyzes how the traditional definition of an</w:t>
      </w:r>
      <w:r>
        <w:t xml:space="preserve"> </w:t>
      </w:r>
      <w:r>
        <w:rPr>
          <w:bCs/>
          <w:b/>
        </w:rPr>
        <w:t xml:space="preserve">architect</w:t>
      </w:r>
      <w:r>
        <w:t xml:space="preserve"> </w:t>
      </w:r>
      <w:r>
        <w:t xml:space="preserve">is expanding beyond aesthetic design to encompass ecological stewardship, social equity, and technological integration. By examining specific challenges and opportunities in</w:t>
      </w:r>
      <w:r>
        <w:t xml:space="preserve"> </w:t>
      </w:r>
      <w:r>
        <w:rPr>
          <w:bCs/>
          <w:b/>
        </w:rPr>
        <w:t xml:space="preserve">Australia Melbourne</w:t>
      </w:r>
      <w:r>
        <w:t xml:space="preserve">, this paper argues that the modern architect must act as a holistic integrator of environmental, cultural, and urban planning dynamics.</w:t>
      </w:r>
    </w:p>
    <w:bookmarkStart w:id="20" w:name="introduction"/>
    <w:p>
      <w:pPr>
        <w:pStyle w:val="Heading2"/>
      </w:pPr>
      <w:r>
        <w:t xml:space="preserve">1. Introduction</w:t>
      </w:r>
    </w:p>
    <w:p>
      <w:pPr>
        <w:pStyle w:val="FirstParagraph"/>
      </w:pPr>
      <w:r>
        <w:t xml:space="preserve">Melbourne has long been celebrated as one of the world’s most liveable cities, a title largely attributed to its robust cultural infrastructure and diverse architectural tapestry. However, in recent decades, the city has faced intense pressure from population growth, climate change awareness, and shifting economic paradigms. In this context, the role of an</w:t>
      </w:r>
      <w:r>
        <w:t xml:space="preserve"> </w:t>
      </w:r>
      <w:r>
        <w:rPr>
          <w:bCs/>
          <w:b/>
        </w:rPr>
        <w:t xml:space="preserve">architect</w:t>
      </w:r>
      <w:r>
        <w:t xml:space="preserve"> </w:t>
      </w:r>
      <w:r>
        <w:t xml:space="preserve">is undergoing a profound transformation. It is no longer sufficient to simply design buildings; architects must now navigate complex regulatory frameworks in</w:t>
      </w:r>
      <w:r>
        <w:t xml:space="preserve"> </w:t>
      </w:r>
      <w:r>
        <w:rPr>
          <w:bCs/>
          <w:b/>
        </w:rPr>
        <w:t xml:space="preserve">Australia Melbourne</w:t>
      </w:r>
      <w:r>
        <w:t xml:space="preserve">, engage with indigenous perspectives through reconciliation actions, and lead the transition toward net-zero carbon built environments.</w:t>
      </w:r>
    </w:p>
    <w:p>
      <w:pPr>
        <w:pStyle w:val="BodyText"/>
      </w:pPr>
      <w:r>
        <w:t xml:space="preserve">This conference paper aims to dissect these evolving responsibilities. We posit that the contemporary architect in this specific geographical context serves as a mediator between heritage conservation and modern innovation, ensuring that urban development in</w:t>
      </w:r>
      <w:r>
        <w:t xml:space="preserve"> </w:t>
      </w:r>
      <w:r>
        <w:rPr>
          <w:bCs/>
          <w:b/>
        </w:rPr>
        <w:t xml:space="preserve">Australia Melbourne</w:t>
      </w:r>
      <w:r>
        <w:t xml:space="preserve"> </w:t>
      </w:r>
      <w:r>
        <w:t xml:space="preserve">remains sustainable, inclusive, and culturally resonant.</w:t>
      </w:r>
    </w:p>
    <w:bookmarkEnd w:id="20"/>
    <w:bookmarkStart w:id="23" w:name="Xedfd3d3054060e027441e938a5f451512cdc75c"/>
    <w:p>
      <w:pPr>
        <w:pStyle w:val="Heading2"/>
      </w:pPr>
      <w:r>
        <w:t xml:space="preserve">2. The Architect as an Environmental Steward</w:t>
      </w:r>
    </w:p>
    <w:p>
      <w:pPr>
        <w:pStyle w:val="FirstParagraph"/>
      </w:pPr>
      <w:r>
        <w:t xml:space="preserve">In the face of global climate crises, the environmental responsibility of an architect has become paramount. In Australia, where extreme weather events such as bushfires and heatwaves are becoming more frequent, architectural design must prioritize resilience and adaptability. For architects operating in Melbourne, this involves integrating passive design strategies that leverage the city’s specific microclimates.</w:t>
      </w:r>
    </w:p>
    <w:bookmarkStart w:id="21" w:name="Xbfc13810fca76c0f6d8cad94c0bfb17fed27e92"/>
    <w:p>
      <w:pPr>
        <w:pStyle w:val="Heading3"/>
      </w:pPr>
      <w:r>
        <w:t xml:space="preserve">2.1 Passive Solar Design and Energy Efficiency</w:t>
      </w:r>
    </w:p>
    <w:p>
      <w:pPr>
        <w:pStyle w:val="FirstParagraph"/>
      </w:pPr>
      <w:r>
        <w:t xml:space="preserve">Melbourne is known for its variable weather, often experiencing four seasons in one day. An effective architect must design buildings that respond dynamically to these fluctuations. This includes optimizing orientation for passive solar heating in winter while providing adequate shading to prevent overheating in summer. The use of high-performance glazing, thermal mass, and natural ventilation systems are critical tools available to the modern</w:t>
      </w:r>
      <w:r>
        <w:t xml:space="preserve"> </w:t>
      </w:r>
      <w:r>
        <w:rPr>
          <w:bCs/>
          <w:b/>
        </w:rPr>
        <w:t xml:space="preserve">architect</w:t>
      </w:r>
      <w:r>
        <w:t xml:space="preserve">. Furthermore, the push for green building certifications such as Green Star in</w:t>
      </w:r>
      <w:r>
        <w:t xml:space="preserve"> </w:t>
      </w:r>
      <w:r>
        <w:rPr>
          <w:bCs/>
          <w:b/>
        </w:rPr>
        <w:t xml:space="preserve">Australia Melbourne</w:t>
      </w:r>
      <w:r>
        <w:t xml:space="preserve"> </w:t>
      </w:r>
      <w:r>
        <w:t xml:space="preserve">requires architects to collaborate closely with engineers and sustainability consultants from the earliest stages of conceptualization.</w:t>
      </w:r>
    </w:p>
    <w:bookmarkEnd w:id="21"/>
    <w:bookmarkStart w:id="22" w:name="materials-and-embodied-carbon"/>
    <w:p>
      <w:pPr>
        <w:pStyle w:val="Heading3"/>
      </w:pPr>
      <w:r>
        <w:t xml:space="preserve">2.2 Materials and Embodied Carbon</w:t>
      </w:r>
    </w:p>
    <w:p>
      <w:pPr>
        <w:pStyle w:val="FirstParagraph"/>
      </w:pPr>
      <w:r>
        <w:t xml:space="preserve">Beyond operational energy, there is a growing emphasis on reducing embodied carbon in construction materials. Australian architects are increasingly sourcing local, low-carbon materials to minimize transportation emissions and support regional economies. In Melbourne, this has led to a resurgence of interest in rammed earth and timber construction, provided that fire safety regulations can be met. The architect’s choice of materials directly impacts the environmental footprint of</w:t>
      </w:r>
      <w:r>
        <w:t xml:space="preserve"> </w:t>
      </w:r>
      <w:r>
        <w:rPr>
          <w:bCs/>
          <w:b/>
        </w:rPr>
        <w:t xml:space="preserve">Australia Melbourne</w:t>
      </w:r>
      <w:r>
        <w:t xml:space="preserve">’s expanding skyline.</w:t>
      </w:r>
    </w:p>
    <w:bookmarkEnd w:id="22"/>
    <w:bookmarkEnd w:id="23"/>
    <w:bookmarkStart w:id="25" w:name="Xe813b84a47d1af8eada96ed096519c2a2d59b7f"/>
    <w:p>
      <w:pPr>
        <w:pStyle w:val="Heading2"/>
      </w:pPr>
      <w:r>
        <w:t xml:space="preserve">3. Cultural Sensitivity and Indigenous Collaboration</w:t>
      </w:r>
    </w:p>
    <w:p>
      <w:pPr>
        <w:pStyle w:val="FirstParagraph"/>
      </w:pPr>
      <w:r>
        <w:t xml:space="preserve">The role of an architect extends beyond physical structures to include cultural accountability. In Australia, acknowledging and respecting Traditional Owners is a critical component of ethical design practice. For projects in Melbourne, which sits on the lands of the Woiwurrung and Boonwurrung peoples of the Kulin Nation, architects are expected to engage meaningfully with Indigenous communities.</w:t>
      </w:r>
    </w:p>
    <w:bookmarkStart w:id="24" w:name="designing-for-reconciliation"/>
    <w:p>
      <w:pPr>
        <w:pStyle w:val="Heading3"/>
      </w:pPr>
      <w:r>
        <w:t xml:space="preserve">3.1 Designing for Reconciliation</w:t>
      </w:r>
    </w:p>
    <w:p>
      <w:pPr>
        <w:pStyle w:val="FirstParagraph"/>
      </w:pPr>
      <w:r>
        <w:t xml:space="preserve">This engagement goes beyond consultation; it involves co-design processes where Indigenous knowledge informs spatial layouts, material selections, and public art installations. An architect working in</w:t>
      </w:r>
      <w:r>
        <w:t xml:space="preserve"> </w:t>
      </w:r>
      <w:r>
        <w:rPr>
          <w:bCs/>
          <w:b/>
        </w:rPr>
        <w:t xml:space="preserve">Australia Melbourne</w:t>
      </w:r>
      <w:r>
        <w:t xml:space="preserve"> </w:t>
      </w:r>
      <w:r>
        <w:t xml:space="preserve">must facilitate environments that celebrate Aboriginal history while fostering a sense of belonging for all citizens. This cultural dimension adds depth to the architectural narrative, transforming buildings from mere objects into places with historical continuity and social meaning.</w:t>
      </w:r>
    </w:p>
    <w:bookmarkEnd w:id="24"/>
    <w:bookmarkEnd w:id="25"/>
    <w:bookmarkStart w:id="28" w:name="urban-density-and-social-infrastructure"/>
    <w:p>
      <w:pPr>
        <w:pStyle w:val="Heading2"/>
      </w:pPr>
      <w:r>
        <w:t xml:space="preserve">4. Urban Density and Social Infrastructure</w:t>
      </w:r>
    </w:p>
    <w:p>
      <w:pPr>
        <w:pStyle w:val="FirstParagraph"/>
      </w:pPr>
      <w:r>
        <w:t xml:space="preserve">Melbourne is experiencing unprecedented population growth, necessitating a shift towards higher density living. However, this densification must not come at the cost of liveability. The architect plays a crucial role in designing high-rise residential towers that maintain human scale and community interaction.</w:t>
      </w:r>
    </w:p>
    <w:bookmarkStart w:id="26" w:name="mixed-use-developments"/>
    <w:p>
      <w:pPr>
        <w:pStyle w:val="Heading3"/>
      </w:pPr>
      <w:r>
        <w:t xml:space="preserve">4.1 Mixed-Use Developments</w:t>
      </w:r>
    </w:p>
    <w:p>
      <w:pPr>
        <w:pStyle w:val="FirstParagraph"/>
      </w:pPr>
      <w:r>
        <w:t xml:space="preserve">In response to urban sprawl, architects in Melbourne are increasingly designing mixed-use developments that integrate housing, retail, office spaces, and public amenities within single complexes. This approach reduces reliance on cars and promotes walkability. The challenge for the architect is to create vibrant street edges that activate the public realm rather than creating monolithic blocks. Successful examples in precincts such as Southbank and Docklands demonstrate how thoughtful architectural intervention can enhance urban vitality.</w:t>
      </w:r>
    </w:p>
    <w:bookmarkEnd w:id="26"/>
    <w:bookmarkStart w:id="27" w:name="social-equity-in-housing"/>
    <w:p>
      <w:pPr>
        <w:pStyle w:val="Heading3"/>
      </w:pPr>
      <w:r>
        <w:t xml:space="preserve">4.2 Social Equity in Housing</w:t>
      </w:r>
    </w:p>
    <w:p>
      <w:pPr>
        <w:pStyle w:val="FirstParagraph"/>
      </w:pPr>
      <w:r>
        <w:t xml:space="preserve">A significant challenge facing Melbourne is housing affordability. Architects are called upon to innovate within cost constraints to deliver quality social and affordable housing. This involves designing efficient floor plans, utilizing modular construction techniques, and ensuring that even high-density developments provide access to light, air, and communal spaces for diverse socioeconomic groups.</w:t>
      </w:r>
    </w:p>
    <w:bookmarkEnd w:id="27"/>
    <w:bookmarkEnd w:id="28"/>
    <w:bookmarkStart w:id="30" w:name="technological-integration"/>
    <w:p>
      <w:pPr>
        <w:pStyle w:val="Heading2"/>
      </w:pPr>
      <w:r>
        <w:t xml:space="preserve">5. Technological Integration</w:t>
      </w:r>
    </w:p>
    <w:p>
      <w:pPr>
        <w:pStyle w:val="FirstParagraph"/>
      </w:pPr>
      <w:r>
        <w:t xml:space="preserve">The digital transformation of the construction industry presents both opportunities and challenges for architects in Australia. Building Information Modeling (BIM) has become a standard requirement for large-scale projects in Melbourne, allowing for better coordination among stakeholders and reduced errors.</w:t>
      </w:r>
    </w:p>
    <w:bookmarkStart w:id="29" w:name="digital-twins-and-smart-cities"/>
    <w:p>
      <w:pPr>
        <w:pStyle w:val="Heading3"/>
      </w:pPr>
      <w:r>
        <w:t xml:space="preserve">5.1 Digital Twins and Smart Cities</w:t>
      </w:r>
    </w:p>
    <w:p>
      <w:pPr>
        <w:pStyle w:val="FirstParagraph"/>
      </w:pPr>
      <w:r>
        <w:t xml:space="preserve">Melbourne’s “Smart City” initiatives rely heavily on data-driven design. Architects must now consider how buildings interact with smart infrastructure, such as sensor networks that monitor energy usage or pedestrian flow. The architect’s role is expanding to include the interpretation of big data to inform design decisions, ensuring that new developments are compatible with the city’s digital ecosystem.</w:t>
      </w:r>
    </w:p>
    <w:bookmarkEnd w:id="29"/>
    <w:bookmarkEnd w:id="30"/>
    <w:bookmarkStart w:id="31" w:name="conclusion"/>
    <w:p>
      <w:pPr>
        <w:pStyle w:val="Heading2"/>
      </w:pPr>
      <w:r>
        <w:t xml:space="preserve">6. Conclusion</w:t>
      </w:r>
    </w:p>
    <w:p>
      <w:pPr>
        <w:pStyle w:val="FirstParagraph"/>
      </w:pPr>
      <w:r>
        <w:t xml:space="preserve">The profession of architecture in Melbourne is at a crossroads. The traditional boundaries between aesthetics, engineering, and urban planning are blurring as the demand for holistic solutions increases. An architect today working in</w:t>
      </w:r>
      <w:r>
        <w:t xml:space="preserve"> </w:t>
      </w:r>
      <w:r>
        <w:rPr>
          <w:bCs/>
          <w:b/>
        </w:rPr>
        <w:t xml:space="preserve">Australia Melbourne</w:t>
      </w:r>
      <w:r>
        <w:t xml:space="preserve"> </w:t>
      </w:r>
      <w:r>
        <w:t xml:space="preserve">must be an environmental scientist, a cultural mediator, and a technological innovator.</w:t>
      </w:r>
    </w:p>
    <w:p>
      <w:pPr>
        <w:pStyle w:val="BodyText"/>
      </w:pPr>
      <w:r>
        <w:t xml:space="preserve">This paper has highlighted that the future of architecture in this region depends on the ability of practitioners to balance these diverse roles. By embracing sustainable practices, honoring Indigenous heritage, addressing social equity through innovative density strategies, and leveraging digital technologies, architects can contribute significantly to the resilience and beauty of Melbourne’s urban fabric. As we look forward, it is imperative that architectural education and professional practice in</w:t>
      </w:r>
      <w:r>
        <w:t xml:space="preserve"> </w:t>
      </w:r>
      <w:r>
        <w:rPr>
          <w:bCs/>
          <w:b/>
        </w:rPr>
        <w:t xml:space="preserve">Australia Melbourne</w:t>
      </w:r>
      <w:r>
        <w:t xml:space="preserve"> </w:t>
      </w:r>
      <w:r>
        <w:t xml:space="preserve">continue to evolve to meet these complex challenges.</w:t>
      </w:r>
    </w:p>
    <w:bookmarkEnd w:id="31"/>
    <w:bookmarkStart w:id="32" w:name="references"/>
    <w:p>
      <w:pPr>
        <w:pStyle w:val="Heading2"/>
      </w:pPr>
      <w:r>
        <w:t xml:space="preserve">References</w:t>
      </w:r>
    </w:p>
    <w:p>
      <w:pPr>
        <w:numPr>
          <w:ilvl w:val="0"/>
          <w:numId w:val="1001"/>
        </w:numPr>
        <w:pStyle w:val="Compact"/>
      </w:pPr>
      <w:r>
        <w:t xml:space="preserve">Melbourne City Design Guidelines. City of Melbourne.</w:t>
      </w:r>
    </w:p>
    <w:p>
      <w:pPr>
        <w:numPr>
          <w:ilvl w:val="0"/>
          <w:numId w:val="1001"/>
        </w:numPr>
        <w:pStyle w:val="Compact"/>
      </w:pPr>
      <w:r>
        <w:t xml:space="preserve">Nationwide House Energy Rating Scheme (NatHERS). Australian Government Department of Industry, Science, Energy and Resources.</w:t>
      </w:r>
    </w:p>
    <w:p>
      <w:pPr>
        <w:numPr>
          <w:ilvl w:val="0"/>
          <w:numId w:val="1001"/>
        </w:numPr>
        <w:pStyle w:val="Compact"/>
      </w:pPr>
      <w:r>
        <w:t xml:space="preserve">Kulin Nation Cultural Heritage Management Plan. Victoria Planning Provisions.</w:t>
      </w:r>
    </w:p>
    <w:p>
      <w:pPr>
        <w:numPr>
          <w:ilvl w:val="0"/>
          <w:numId w:val="1001"/>
        </w:numPr>
        <w:pStyle w:val="Compact"/>
      </w:pPr>
      <w:r>
        <w:t xml:space="preserve">Australian Institute of Architects. (2023). "Designing for Climate Resilience in Urban Australia."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the Context of Australia Melbourne</dc:title>
  <dc:creator/>
  <dc:language>en</dc:language>
  <cp:keywords/>
  <dcterms:created xsi:type="dcterms:W3CDTF">2026-07-29T14:20:46Z</dcterms:created>
  <dcterms:modified xsi:type="dcterms:W3CDTF">2026-07-29T14:20:46Z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