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Australian</w:t>
      </w:r>
      <w:r>
        <w:t xml:space="preserve"> </w:t>
      </w:r>
      <w:r>
        <w:t xml:space="preserve">Sydney</w:t>
      </w:r>
    </w:p>
    <w:bookmarkStart w:id="29" w:name="Xbcb2ecd8fe497fbb1d45a7da7e3f0b67813b56e"/>
    <w:p>
      <w:pPr>
        <w:pStyle w:val="Heading1"/>
      </w:pPr>
      <w:r>
        <w:t xml:space="preserve">Bridging Heritage and Innovation: The Contemporary Role of the Architect in Australia Sydney</w:t>
      </w:r>
    </w:p>
    <w:p>
      <w:pPr>
        <w:pStyle w:val="FirstParagraph"/>
      </w:pPr>
      <w:r>
        <w:rPr>
          <w:iCs/>
          <w:i/>
          <w:bCs/>
          <w:b/>
        </w:rPr>
        <w:t xml:space="preserve">Alexander J. Thorne, PhD, AIA</w:t>
      </w:r>
    </w:p>
    <w:p>
      <w:pPr>
        <w:pStyle w:val="BodyText"/>
      </w:pPr>
      <w:r>
        <w:rPr>
          <w:iCs/>
          <w:i/>
        </w:rPr>
        <w:t xml:space="preserve">School of Urban Planning and Design, University of New South Wales</w:t>
      </w:r>
    </w:p>
    <w:bookmarkStart w:id="20" w:name="abstract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multifaceted and increasingly critical role of the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bookmarkEnd w:id="20"/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Conservation, Australia Sydney</w:t>
      </w:r>
    </w:p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t xml:space="preserve">sits at a pivotal juncture in its architectural history. As one of the most dynamic metropolitan regions in the Asia-Pacific hemisphere, it faces unique pressures related to rapid population growth, climate resilience, and heritage preservation. In this complex ecosystem,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no longer merely a designer of buildings but serves as a central mediator between public policy, environmental imperatives, social equity, and cultural identity. This paper argues that the modern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1"/>
    <w:bookmarkStart w:id="22" w:name="X4fc1b976b4bc82d73166ad1a27d91e9ca9e856d"/>
    <w:p>
      <w:pPr>
        <w:pStyle w:val="Heading2"/>
      </w:pPr>
      <w:r>
        <w:t xml:space="preserve">2. The Historical Context and Identity of Australia Sydney Architecture</w:t>
      </w:r>
    </w:p>
    <w:p>
      <w:pPr>
        <w:pStyle w:val="FirstParagraph"/>
      </w:pPr>
      <w:r>
        <w:t xml:space="preserve">To understand the present role of the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2"/>
    <w:bookmarkStart w:id="23" w:name="Xaf39c68835f0f30b09a14d4771980b412675833"/>
    <w:p>
      <w:pPr>
        <w:pStyle w:val="Heading2"/>
      </w:pPr>
      <w:r>
        <w:t xml:space="preserve">3. Environmental Stewardship and Sustainable Design in Australia Sydney</w:t>
      </w:r>
    </w:p>
    <w:p>
      <w:pPr>
        <w:pStyle w:val="FirstParagraph"/>
      </w:pPr>
      <w:r>
        <w:t xml:space="preserve">The most significant challenge facing the contemporary</w:t>
      </w:r>
    </w:p>
    <w:p>
      <w:pPr>
        <w:pStyle w:val="BodyText"/>
      </w:pPr>
      <w: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3"/>
    <w:bookmarkStart w:id="24" w:name="X53de2c9cdab830484a7fd2931aca9d617578db3"/>
    <w:p>
      <w:pPr>
        <w:pStyle w:val="Heading2"/>
      </w:pPr>
      <w:r>
        <w:t xml:space="preserve">4. Social Equity and Inclusive Urbanism in Australia Sydney</w:t>
      </w:r>
    </w:p>
    <w:p>
      <w:pPr>
        <w:pStyle w:val="FirstParagraph"/>
      </w:pPr>
      <w:r>
        <w:t xml:space="preserve">Beyond environmental concerns, the</w:t>
      </w:r>
    </w:p>
    <w:p>
      <w:pPr>
        <w:pStyle w:val="BodyText"/>
      </w:pPr>
      <w: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4"/>
    <w:bookmarkStart w:id="25" w:name="Xc7b7b31fafe23c4fc42dc8988d41a54d587b8df"/>
    <w:p>
      <w:pPr>
        <w:pStyle w:val="Heading2"/>
      </w:pPr>
      <w:r>
        <w:t xml:space="preserve">5. Technological Integration and Digital Fabrication in Australia Sydney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5"/>
    <w:bookmarkStart w:id="26" w:name="Xbcc2d3a23b6d4504fb9a4ab78975622f1f70dcd"/>
    <w:p>
      <w:pPr>
        <w:pStyle w:val="Heading2"/>
      </w:pPr>
      <w:r>
        <w:t xml:space="preserve">6. The Architect as a Community Advocate in Australia Sydney</w:t>
      </w:r>
    </w:p>
    <w:p>
      <w:pPr>
        <w:pStyle w:val="FirstParagraph"/>
      </w:pPr>
      <w:r>
        <w:t xml:space="preserve">In</w:t>
      </w:r>
    </w:p>
    <w:p>
      <w:pPr>
        <w:pStyle w:val="BodyText"/>
      </w:pPr>
      <w: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6"/>
    <w:bookmarkStart w:id="27" w:name="Xdc7190c5fca2ec034c0e1b89e481eebee4e09cc"/>
    <w:p>
      <w:pPr>
        <w:pStyle w:val="Heading2"/>
      </w:pPr>
      <w:r>
        <w:t xml:space="preserve">7. Conclusion: Reimagining the Architectural Profession in Australia Sydney</w:t>
      </w:r>
    </w:p>
    <w:p>
      <w:pPr>
        <w:pStyle w:val="FirstParagraph"/>
      </w:pPr>
      <w:r>
        <w:t xml:space="preserve">The role of the</w:t>
      </w:r>
    </w:p>
    <w:p>
      <w:pPr>
        <w:pStyle w:val="BodyText"/>
      </w:pPr>
      <w: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bookmarkEnd w:id="27"/>
    <w:bookmarkStart w:id="28" w:name="references-selected"/>
    <w:p>
      <w:pPr>
        <w:pStyle w:val="Heading2"/>
      </w:pPr>
      <w:r>
        <w:t xml:space="preserve">8. References (Selected)</w:t>
      </w:r>
    </w:p>
    <w:p>
      <w:pPr>
        <w:pStyle w:val="FirstParagraph"/>
      </w:pPr>
      <w:r>
        <w:t xml:space="preserve">Australian Institute of Architects (AIA). (2023).</w:t>
      </w:r>
      <w:r>
        <w:t xml:space="preserve"> </w:t>
      </w:r>
      <w:r>
        <w:rPr>
          <w:iCs/>
          <w:i/>
        </w:rPr>
        <w:t xml:space="preserve">Sustainability Charter for the Built Environment.</w:t>
      </w:r>
    </w:p>
    <w:p>
      <w:pPr>
        <w:pStyle w:val="BodyText"/>
      </w:pPr>
      <w:r>
        <w:t xml:space="preserve">Berger, M., &amp; Hillier, J. (2018).</w:t>
      </w:r>
      <w:r>
        <w:t xml:space="preserve"> </w:t>
      </w:r>
      <w:r>
        <w:rPr>
          <w:iCs/>
          <w:i/>
        </w:rPr>
        <w:t xml:space="preserve">The Architecture of Urbanism: How Design Shapes Cities in Australia Sydney</w:t>
      </w:r>
      <w:r>
        <w:t xml:space="preserve">.</w:t>
      </w:r>
    </w:p>
    <w:p>
      <w:pPr>
        <w:pStyle w:val="BodyText"/>
      </w:pPr>
      <w:r>
        <w:t xml:space="preserve">Coleman, R. (2021). "Adaptive Reuse and Heritage in the 21st Century: The</w:t>
      </w:r>
      <w:r>
        <w:t xml:space="preserve"> </w:t>
      </w:r>
      <w:r>
        <w:rPr>
          <w:bCs/>
          <w:b/>
        </w:rP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p>
      <w:pPr>
        <w:pStyle w:val="BodyText"/>
      </w:pPr>
      <w:r>
        <w:t xml:space="preserve">Kearns, G., &amp; Kearns, P. (2019).</w:t>
      </w:r>
      <w:r>
        <w:t xml:space="preserve"> </w:t>
      </w:r>
      <w:r>
        <w:rPr>
          <w:iCs/>
          <w:i/>
        </w:rPr>
        <w:t xml:space="preserve">Social Capital and Community Resilience in Australian Cities.</w:t>
      </w:r>
    </w:p>
    <w:p>
      <w:pPr>
        <w:pStyle w:val="BodyText"/>
      </w:pPr>
      <w:r>
        <w:t xml:space="preserve">McFarlane, C. (2020). "Urban Infrastructure and the Right to the City in Australia Sydney."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p>
      <w:pPr>
        <w:pStyle w:val="BodyText"/>
      </w:pPr>
      <w:r>
        <w:t xml:space="preserve">Sustainable Architecture Practice (SAP). (2024).</w:t>
      </w:r>
      <w:r>
        <w:t xml:space="preserve"> </w:t>
      </w:r>
      <w:r>
        <w:rPr>
          <w:iCs/>
          <w:i/>
        </w:rPr>
        <w:t xml:space="preserve">Net Zero Carbon Building Guidelines for the Australian Context.</w:t>
      </w:r>
    </w:p>
    <w:p>
      <w:pPr>
        <w:pStyle w:val="BodyText"/>
      </w:pPr>
      <w:r>
        <w:t xml:space="preserve">The City of Australia Sydney Local Government Area. (2023). "Local Environmental Plan 2018: Heritage and Built Form Controls."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p>
      <w:pPr>
        <w:numPr>
          <w:ilvl w:val="0"/>
          <w:numId w:val="1001"/>
        </w:numPr>
        <w:pStyle w:val="Compact"/>
      </w:pPr>
      <w:r>
        <w:t xml:space="preserve">Vidalis, G. (2022). "Digital Twin Technology in Urban Planning: A Case Study of Australia Sydney Infrastructure Projects."</w:t>
      </w:r>
    </w:p>
    <w:p>
      <w:pPr>
        <w:pStyle w:val="FirstParagraph"/>
      </w:pPr>
      <w:r>
        <w:t xml:space="preserve">Note: This conference paper has been prepared for academic dissemination and professional discourse regarding the evolving responsibilities of the</w:t>
      </w:r>
    </w:p>
    <w:p>
      <w:pPr>
        <w:pStyle w:val="BodyText"/>
      </w:pPr>
      <w:r>
        <w:t xml:space="preserve">Australia Sydney</w:t>
      </w:r>
      <w:r>
        <w:t xml:space="preserve"> </w:t>
      </w:r>
      <w:r>
        <w:rPr>
          <w:iCs/>
          <w:i/>
        </w:rPr>
        <w:t xml:space="preserve">Australia Sydney</w:t>
      </w:r>
    </w:p>
    <w:p>
      <w:pPr>
        <w:pStyle w:val="BodyText"/>
      </w:pPr>
      <w:r>
        <w:rPr>
          <w:bCs/>
          <w:b/>
        </w:rPr>
        <w:t xml:space="preserve">Keywords:</w:t>
      </w:r>
      <w:r>
        <w:t xml:space="preserve"> Architecture, Urban Design, Sustainability, Heritage Conservation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© 2024 Conference Proceedings on Architectural Futures. All rights reserved.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Architect in Contemporary Australian Sydney</dc:title>
  <dc:creator/>
  <dc:language>en</dc:language>
  <cp:keywords/>
  <dcterms:created xsi:type="dcterms:W3CDTF">2026-07-29T06:36:52Z</dcterms:created>
  <dcterms:modified xsi:type="dcterms:W3CDTF">2026-07-29T06:36:52Z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