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Architect</w:t>
      </w:r>
      <w:r>
        <w:t xml:space="preserve"> </w:t>
      </w:r>
      <w:r>
        <w:t xml:space="preserve">in</w:t>
      </w:r>
      <w:r>
        <w:t xml:space="preserve"> </w:t>
      </w:r>
      <w:r>
        <w:t xml:space="preserve">Germany</w:t>
      </w:r>
      <w:r>
        <w:t xml:space="preserve"> </w:t>
      </w:r>
      <w:r>
        <w:t xml:space="preserve">Frankfurt:</w:t>
      </w:r>
      <w:r>
        <w:t xml:space="preserve"> </w:t>
      </w:r>
      <w:r>
        <w:t xml:space="preserve">Navigating</w:t>
      </w:r>
      <w:r>
        <w:t xml:space="preserve"> </w:t>
      </w:r>
      <w:r>
        <w:t xml:space="preserve">Complexity</w:t>
      </w:r>
      <w:r>
        <w:t xml:space="preserve"> </w:t>
      </w:r>
      <w:r>
        <w:t xml:space="preserve">and</w:t>
      </w:r>
      <w:r>
        <w:t xml:space="preserve"> </w:t>
      </w:r>
      <w:r>
        <w:t xml:space="preserve">Innovation</w:t>
      </w:r>
    </w:p>
    <w:bookmarkStart w:id="29" w:name="X075cbfbfdba5d8c251c09427e179b85c90bef79"/>
    <w:p>
      <w:pPr>
        <w:pStyle w:val="Heading1"/>
      </w:pPr>
      <w:r>
        <w:t xml:space="preserve">The Modern Architect in Germany Frankfurt</w:t>
      </w:r>
      <w:r>
        <w:br/>
      </w:r>
      <w:r>
        <w:t xml:space="preserve">Navigating Complexity, Sustainability, and Urban Density</w:t>
      </w:r>
    </w:p>
    <w:p>
      <w:pPr>
        <w:pStyle w:val="FirstParagraph"/>
      </w:pPr>
      <w:r>
        <w:rPr>
          <w:bCs/>
          <w:b/>
        </w:rPr>
        <w:t xml:space="preserve">Johannes Weber</w:t>
      </w:r>
      <w:r>
        <w:rPr>
          <w:vertAlign w:val="superscript"/>
          <w:bCs/>
          <w:b/>
        </w:rPr>
        <w:t xml:space="preserve">*</w:t>
      </w:r>
      <w:r>
        <w:t xml:space="preserve">, Institute for Urban Design Studies</w:t>
      </w:r>
      <w:r>
        <w:br/>
      </w:r>
      <w:r>
        <w:t xml:space="preserve">Conference on Sustainable Metropolis Development 2024</w:t>
      </w:r>
      <w:r>
        <w:br/>
      </w:r>
      <w:r>
        <w:rPr>
          <w:iCs/>
          <w:i/>
        </w:rPr>
        <w:t xml:space="preserve">*Corresponding Author: j.weber@urbandesign-institute.de</w:t>
      </w:r>
    </w:p>
    <w:bookmarkStart w:id="20" w:name="abstract"/>
    <w:p>
      <w:pPr>
        <w:pStyle w:val="Heading3"/>
      </w:pPr>
      <w:r>
        <w:rPr>
          <w:bCs/>
          <w:b/>
        </w:rPr>
        <w:t xml:space="preserve">Abstract</w:t>
      </w:r>
    </w:p>
    <w:p>
      <w:pPr>
        <w:pStyle w:val="FirstParagraph"/>
      </w:pPr>
      <w:r>
        <w:t xml:space="preserve">This conference paper examines the evolving role of the professional architect within the unique socio-economic and regulatory context of Germany Frankfurt. As a global financial hub and a city characterized by high-density vertical development, Frankfurt presents distinct challenges for architectural practice. This study analyzes how contemporary architects must balance strict German building codes (</w:t>
      </w:r>
      <w:r>
        <w:rPr>
          <w:iCs/>
          <w:i/>
        </w:rPr>
        <w:t xml:space="preserve">Bauordnungen</w:t>
      </w:r>
      <w:r>
        <w:t xml:space="preserve">), sustainability mandates (such as GEG compliance), and the cultural imperative for aesthetic excellence amidst rapid urbanization. Through case studies of recent interventions in the Gallusviertel and the banking district, this paper argues that the modern architect in Germany Frankfurt must act not only as a designer but also as a mediator between regulatory bodies, investors, and community stakeholders to achieve resilient urban futures.</w:t>
      </w:r>
    </w:p>
    <w:bookmarkEnd w:id="20"/>
    <w:bookmarkStart w:id="21" w:name="introduction"/>
    <w:p>
      <w:pPr>
        <w:pStyle w:val="Heading2"/>
      </w:pPr>
      <w:r>
        <w:t xml:space="preserve">1. Introduction</w:t>
      </w:r>
    </w:p>
    <w:p>
      <w:pPr>
        <w:pStyle w:val="FirstParagraph"/>
      </w:pPr>
      <w:r>
        <w:t xml:space="preserve">The skyline of Germany Frankfurt is often cited as "Mainhattan," a colloquialism that highlights its unique status as the only city in mainland Europe with a skyline comparable to major North American metropolises. For the architect operating in this environment, the landscape is defined by juxtaposition: historic preservation alongside cutting-edge glass curtain walls, and dense commercial towers against post-war residential blocks. The role of the architect here transcends traditional aesthetics; it requires a profound understanding of regulatory frameworks, environmental responsibility, and social integration.</w:t>
      </w:r>
    </w:p>
    <w:p>
      <w:pPr>
        <w:pStyle w:val="BodyText"/>
      </w:pPr>
      <w:r>
        <w:t xml:space="preserve">In Germany Frankfurt, urban planning is not merely a suggestion but a rigorous discipline governed by federal and state laws. The architect must navigate the complex interplay between the Federal Building Code (</w:t>
      </w:r>
      <w:r>
        <w:rPr>
          <w:iCs/>
          <w:i/>
        </w:rPr>
        <w:t xml:space="preserve">Baugesetzbuch</w:t>
      </w:r>
      <w:r>
        <w:t xml:space="preserve">) and local zoning plans (</w:t>
      </w:r>
      <w:r>
        <w:rPr>
          <w:iCs/>
          <w:i/>
        </w:rPr>
        <w:t xml:space="preserve">Bebauungspläne</w:t>
      </w:r>
      <w:r>
        <w:t xml:space="preserve">). This paper explores how these constraints shape the creative process and how successful architects leverage these limitations to drive innovation in housing, commercial infrastructure, and public spaces.</w:t>
      </w:r>
    </w:p>
    <w:bookmarkEnd w:id="21"/>
    <w:bookmarkStart w:id="22" w:name="Xde1910e98f04ec63e83b6b9744bb8eec881258b"/>
    <w:p>
      <w:pPr>
        <w:pStyle w:val="Heading2"/>
      </w:pPr>
      <w:r>
        <w:t xml:space="preserve">2. Regulatory Frameworks and the German Context</w:t>
      </w:r>
    </w:p>
    <w:p>
      <w:pPr>
        <w:pStyle w:val="FirstParagraph"/>
      </w:pPr>
      <w:r>
        <w:t xml:space="preserve">To practice effectively as an architect in Germany Frankfurt is to engage with one of the most stringent regulatory environments in Europe. The energy efficiency requirements for buildings have tightened significantly with the introduction of the Building Energy Act (</w:t>
      </w:r>
      <w:r>
        <w:rPr>
          <w:iCs/>
          <w:i/>
        </w:rPr>
        <w:t xml:space="preserve">Gebäudeenergiegesetz</w:t>
      </w:r>
      <w:r>
        <w:t xml:space="preserve"> </w:t>
      </w:r>
      <w:r>
        <w:t xml:space="preserve">or GEG). For architects, this means that thermal performance, renewable energy integration, and lifecycle carbon assessments are no longer optional add-ons but foundational elements of design.</w:t>
      </w:r>
    </w:p>
    <w:p>
      <w:pPr>
        <w:pStyle w:val="BodyText"/>
      </w:pPr>
      <w:r>
        <w:t xml:space="preserve">In Germany Frankfurt specifically, where high-rise developments dominate certain districts, wind flow analysis and shadow casting studies are critical components of the approval process. Architects must submit detailed environmental impact assessments that consider not only individual building performance but also its cumulative effect on the surrounding microclimate. This rigorous standard ensures that while Germany Frankfurt continues to grow vertically, it does so with an awareness of its environmental footprint.</w:t>
      </w:r>
    </w:p>
    <w:bookmarkEnd w:id="22"/>
    <w:bookmarkStart w:id="23" w:name="X897200499db04309bf34da9e3aa095d0a9b5b88"/>
    <w:p>
      <w:pPr>
        <w:pStyle w:val="Heading2"/>
      </w:pPr>
      <w:r>
        <w:t xml:space="preserve">3. Sustainability as a Core Architectural Principle</w:t>
      </w:r>
    </w:p>
    <w:p>
      <w:pPr>
        <w:pStyle w:val="FirstParagraph"/>
      </w:pPr>
      <w:r>
        <w:t xml:space="preserve">Sustainability in the German context is often viewed through the lens of "Circular Economy" (</w:t>
      </w:r>
      <w:r>
        <w:rPr>
          <w:iCs/>
          <w:i/>
        </w:rPr>
        <w:t xml:space="preserve">Kreislaufwirtschaft</w:t>
      </w:r>
      <w:r>
        <w:t xml:space="preserve">). Architects working in Germany Frankfurt are increasingly tasked with retrofitting existing structures rather than demolishing them. The concept of *Bestandsschutz* (protection of existing stock) encourages architects to preserve embodied carbon by renovating post-war buildings from the 1950s and 60s that form the backbone of many residential neighborhoods.</w:t>
      </w:r>
    </w:p>
    <w:p>
      <w:pPr>
        <w:pStyle w:val="BodyText"/>
      </w:pPr>
      <w:r>
        <w:t xml:space="preserve">Furthermore, green architecture in Germany Frankfurt extends beyond energy efficiency. It encompasses biophilic design principles, where vertical gardens and green roofs are integrated into high-density towers to mitigate urban heat island effects. The DGNB (German Sustainable Building Council) certification system is widely adopted by architects in the city as a benchmark for quality, ensuring that sustainability metrics are measurable and verifiable.</w:t>
      </w:r>
    </w:p>
    <w:bookmarkEnd w:id="23"/>
    <w:bookmarkStart w:id="24" w:name="Xb2485a5dc147143d1a98e00e64d9ab1c1aa7bca"/>
    <w:p>
      <w:pPr>
        <w:pStyle w:val="Heading2"/>
      </w:pPr>
      <w:r>
        <w:t xml:space="preserve">4. Social Responsibility and Community Integration</w:t>
      </w:r>
    </w:p>
    <w:p>
      <w:pPr>
        <w:pStyle w:val="FirstParagraph"/>
      </w:pPr>
      <w:r>
        <w:t xml:space="preserve">A critical challenge facing the architect in Germany Frankfurt is the issue of social housing and gentrification. As financial institutions expand their headquarters, residential rents have surged, leading to displacement pressures in historic working-class neighborhoods such as Gallus or Bockenheim. The modern architect must therefore adopt a socially responsive approach.</w:t>
      </w:r>
    </w:p>
    <w:p>
      <w:pPr>
        <w:pStyle w:val="BodyText"/>
      </w:pPr>
      <w:r>
        <w:t xml:space="preserve">This involves participatory design processes (*Bürgerbeteiligung*), where architects engage with local communities during the conceptual phase. In recent projects across Germany Frankfurt, architects have utilized mixed-use typologies to ensure that commercial vitality does not exclude residential accessibility. By incorporating affordable housing units into luxury developments and creating public plazas that serve as community hubs, architects contribute to social cohesion. The architect’s role thus expands from creator of form to facilitator of social equity.</w:t>
      </w:r>
    </w:p>
    <w:bookmarkEnd w:id="24"/>
    <w:bookmarkStart w:id="25" w:name="case-studies-in-innovation"/>
    <w:p>
      <w:pPr>
        <w:pStyle w:val="Heading2"/>
      </w:pPr>
      <w:r>
        <w:t xml:space="preserve">5. Case Studies in Innovation</w:t>
      </w:r>
    </w:p>
    <w:p>
      <w:pPr>
        <w:pStyle w:val="FirstParagraph"/>
      </w:pPr>
      <w:r>
        <w:rPr>
          <w:bCs/>
          <w:b/>
        </w:rPr>
        <w:t xml:space="preserve">The Messeturm and Beyond:</w:t>
      </w:r>
      <w:r>
        <w:t xml:space="preserve"> </w:t>
      </w:r>
      <w:r>
        <w:t xml:space="preserve">The iconic Messeturm remains a symbol of architectural ambition in Germany Frankfurt. However, recent renovations have focused on adaptive reuse, demonstrating how architects can extend the lifespan of landmark structures while updating them to meet contemporary standards. This approach resonates with the broader trend in Germany Frankfurt toward respecting architectural heritage while embracing technological advancement.</w:t>
      </w:r>
    </w:p>
    <w:p>
      <w:pPr>
        <w:pStyle w:val="BodyText"/>
      </w:pPr>
      <w:r>
        <w:rPr>
          <w:bCs/>
          <w:b/>
        </w:rPr>
        <w:t xml:space="preserve">The Westend District Transformation:</w:t>
      </w:r>
      <w:r>
        <w:t xml:space="preserve"> </w:t>
      </w:r>
      <w:r>
        <w:t xml:space="preserve">In contrast to the financial district, residential areas like Westend face different challenges. Here, architects are reimagining courtyards and alleyways to enhance livability. Projects that prioritize pedestrian accessibility and green connectivity illustrate how thoughtful design can improve quality of life without altering the fundamental character of historic streetscapes.</w:t>
      </w:r>
    </w:p>
    <w:bookmarkEnd w:id="25"/>
    <w:bookmarkStart w:id="26" w:name="future-outlook-digitalization-and-ai"/>
    <w:p>
      <w:pPr>
        <w:pStyle w:val="Heading2"/>
      </w:pPr>
      <w:r>
        <w:t xml:space="preserve">6. Future Outlook: Digitalization and AI</w:t>
      </w:r>
    </w:p>
    <w:p>
      <w:pPr>
        <w:pStyle w:val="FirstParagraph"/>
      </w:pPr>
      <w:r>
        <w:t xml:space="preserve">The future of architectural practice in Germany Frankfurt will be heavily influenced by digitalization. Building Information Modeling (BIM) is becoming mandatory for public projects, requiring architects to collaborate more closely with engineers and contractors from the earliest stages. Artificial Intelligence is beginning to assist in optimizing floor plans for energy efficiency and structural integrity.</w:t>
      </w:r>
    </w:p>
    <w:p>
      <w:pPr>
        <w:pStyle w:val="BodyText"/>
      </w:pPr>
      <w:r>
        <w:t xml:space="preserve">Architects must therefore acquire new technical competencies. In Germany Frankfurt, where speed of development is crucial due to high demand, digital tools allow for rapid iteration and precise compliance checking. This technological integration ensures that the architect can deliver high-quality results within tight regulatory timelines.</w:t>
      </w:r>
    </w:p>
    <w:bookmarkEnd w:id="26"/>
    <w:bookmarkStart w:id="27" w:name="conclusion"/>
    <w:p>
      <w:pPr>
        <w:pStyle w:val="Heading2"/>
      </w:pPr>
      <w:r>
        <w:t xml:space="preserve">7. Conclusion</w:t>
      </w:r>
    </w:p>
    <w:p>
      <w:pPr>
        <w:pStyle w:val="FirstParagraph"/>
      </w:pPr>
      <w:r>
        <w:t xml:space="preserve">The profession of architecture in Germany Frankfurt is at a crossroads. It requires a synthesis of technical precision, environmental stewardship, and social sensitivity. The successful architect in this context is not merely an artist but a strategic planner who understands the intricate web of regulations and societal needs.</w:t>
      </w:r>
    </w:p>
    <w:p>
      <w:pPr>
        <w:pStyle w:val="BodyText"/>
      </w:pPr>
      <w:r>
        <w:t xml:space="preserve">As Germany Frankfurt continues to evolve as a global financial hub, the demand for resilient, sustainable, and inclusive design will only increase. Architects must rise to this challenge by embracing innovation while honoring the city’s rich history. Ultimately, the legacy of contemporary architecture in Germany Frankfurt will be defined by its ability to create spaces that are not only visually striking but also socially equitable and environmentally responsible.</w:t>
      </w:r>
    </w:p>
    <w:bookmarkEnd w:id="27"/>
    <w:bookmarkStart w:id="28" w:name="references"/>
    <w:p>
      <w:pPr>
        <w:pStyle w:val="Heading2"/>
      </w:pPr>
      <w:r>
        <w:t xml:space="preserve">References</w:t>
      </w:r>
    </w:p>
    <w:p>
      <w:pPr>
        <w:numPr>
          <w:ilvl w:val="0"/>
          <w:numId w:val="1001"/>
        </w:numPr>
        <w:pStyle w:val="Compact"/>
      </w:pPr>
      <w:r>
        <w:t xml:space="preserve">Federal Ministry of Building and Home Affairs. (2023). *Building Energy Act (GEG) Guidelines*. Berlin: BMWSB.</w:t>
      </w:r>
    </w:p>
    <w:p>
      <w:pPr>
        <w:numPr>
          <w:ilvl w:val="0"/>
          <w:numId w:val="1001"/>
        </w:numPr>
        <w:pStyle w:val="Compact"/>
      </w:pPr>
      <w:r>
        <w:t xml:space="preserve">DGNB. (2024). *Sustainable Building Certification Standards for Urban High-Rises*. Cologne: DGNB Council.</w:t>
      </w:r>
    </w:p>
    <w:p>
      <w:pPr>
        <w:numPr>
          <w:ilvl w:val="0"/>
          <w:numId w:val="1001"/>
        </w:numPr>
        <w:pStyle w:val="Compact"/>
      </w:pPr>
      <w:r>
        <w:t xml:space="preserve">Municipal Planning Department Frankfurt. (2023). *Urban Development Concept 2035*. Frankfurt am Main: Stadtentwicklung Frankfurt.</w:t>
      </w:r>
    </w:p>
    <w:p>
      <w:pPr>
        <w:numPr>
          <w:ilvl w:val="0"/>
          <w:numId w:val="1001"/>
        </w:numPr>
        <w:pStyle w:val="Compact"/>
      </w:pPr>
      <w:r>
        <w:t xml:space="preserve">Weber, J., &amp; Schmidt, L. (2024). "Adaptive Reuse in Post-War Germany: A Case Study of the Westend District." *Journal of European Urban Design*, 15(2),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Architect in Germany Frankfurt: Navigating Complexity and Innovation</dc:title>
  <dc:creator/>
  <dc:language>en</dc:language>
  <cp:keywords/>
  <dcterms:created xsi:type="dcterms:W3CDTF">2026-07-29T08:19:39Z</dcterms:created>
  <dcterms:modified xsi:type="dcterms:W3CDTF">2026-07-29T08:19:39Z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