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Architect</w:t>
      </w:r>
      <w:r>
        <w:t xml:space="preserve"> </w:t>
      </w:r>
      <w:r>
        <w:t xml:space="preserve">in</w:t>
      </w:r>
      <w:r>
        <w:t xml:space="preserve"> </w:t>
      </w:r>
      <w:r>
        <w:t xml:space="preserve">Iran</w:t>
      </w:r>
      <w:r>
        <w:t xml:space="preserve"> </w:t>
      </w:r>
      <w:r>
        <w:t xml:space="preserve">Tehran:</w:t>
      </w:r>
      <w:r>
        <w:t xml:space="preserve"> </w:t>
      </w:r>
      <w:r>
        <w:t xml:space="preserve">Bridging</w:t>
      </w:r>
      <w:r>
        <w:t xml:space="preserve"> </w:t>
      </w:r>
      <w:r>
        <w:t xml:space="preserve">Ancient</w:t>
      </w:r>
      <w:r>
        <w:t xml:space="preserve"> </w:t>
      </w:r>
      <w:r>
        <w:t xml:space="preserve">Heritage</w:t>
      </w:r>
      <w:r>
        <w:t xml:space="preserve"> </w:t>
      </w:r>
      <w:r>
        <w:t xml:space="preserve">and</w:t>
      </w:r>
      <w:r>
        <w:t xml:space="preserve"> </w:t>
      </w:r>
      <w:r>
        <w:t xml:space="preserve">Modern</w:t>
      </w:r>
      <w:r>
        <w:t xml:space="preserve"> </w:t>
      </w:r>
      <w:r>
        <w:t xml:space="preserve">Urbanism</w:t>
      </w:r>
    </w:p>
    <w:bookmarkStart w:id="28" w:name="Xca11b305901778bdfb5808deb233533b67d305f"/>
    <w:p>
      <w:pPr>
        <w:pStyle w:val="Heading1"/>
      </w:pPr>
      <w:r>
        <w:t xml:space="preserve">The Role of the Architect in Iran Tehran</w:t>
      </w:r>
      <w:r>
        <w:br/>
      </w:r>
      <w:r>
        <w:t xml:space="preserve">Navigating the Nexus of Tradition and Modernity</w:t>
      </w:r>
    </w:p>
    <w:p>
      <w:pPr>
        <w:pStyle w:val="FirstParagraph"/>
      </w:pPr>
      <w:r>
        <w:rPr>
          <w:bCs/>
          <w:b/>
        </w:rPr>
        <w:t xml:space="preserve">Abstract:</w:t>
      </w:r>
      <w:r>
        <w:br/>
      </w:r>
      <w:r>
        <w:t xml:space="preserve">This conference paper examines the evolving role of the architect within the specific socio-cultural and urban context of Iran Tehran. As one of the fastest-growing megacities in Western Asia, Tehran presents a unique paradox: it is a city deeply rooted in ancient Persian history yet aggressively pursuing modernization. This study analyzes how the contemporary architect must balance these competing demands, addressing issues such as sustainable design, cultural preservation, and social equity. The paper argues that the architect in Iran Tehran is not merely a designer of spaces but a critical mediator between historical legacy and future sustainability.</w:t>
      </w:r>
    </w:p>
    <w:bookmarkStart w:id="20" w:name="introduction"/>
    <w:p>
      <w:pPr>
        <w:pStyle w:val="Heading2"/>
      </w:pPr>
      <w:r>
        <w:t xml:space="preserve">1. Introduction</w:t>
      </w:r>
    </w:p>
    <w:p>
      <w:pPr>
        <w:pStyle w:val="FirstParagraph"/>
      </w:pPr>
      <w:r>
        <w:t xml:space="preserve">The identity of Iran Tehran has undergone profound transformations over the last century. From its inception as the capital during the Qajar dynasty to its explosive growth in the late twentieth century, Tehran has become a microcosm of global urban challenges. For the architect operating within this dynamic landscape, the task is twofold: to respect and integrate millennia-old architectural traditions while simultaneously responding to modern functional needs. This paper explores how the concept of "the architect" must be redefined in Iran Tehran to address these complex layers of history, politics, geography, and culture.</w:t>
      </w:r>
    </w:p>
    <w:bookmarkEnd w:id="20"/>
    <w:bookmarkStart w:id="21" w:name="historical-context-and-cultural-identity"/>
    <w:p>
      <w:pPr>
        <w:pStyle w:val="Heading2"/>
      </w:pPr>
      <w:r>
        <w:t xml:space="preserve">2. Historical Context and Cultural Identity</w:t>
      </w:r>
    </w:p>
    <w:p>
      <w:pPr>
        <w:pStyle w:val="FirstParagraph"/>
      </w:pPr>
      <w:r>
        <w:t xml:space="preserve">To understand the current challenges facing the architect in Iran Tehran, one must first appreciate the depth of its architectural heritage. Persian architecture is renowned for its use of light, water gardens (pairidaeza), and intricate geometric patterns that reflect spiritual concepts. However, rapid modernization following the oil boom in the 1970s introduced a wave of International Style skyscrapers that often ignored local climatic conditions and cultural nuances. Today, the architect in Iran Tehran faces pressure to reverse this homogenization. There is a growing movement among young architects to reinterpret traditional elements—such as the</w:t>
      </w:r>
      <w:r>
        <w:t xml:space="preserve"> </w:t>
      </w:r>
      <w:r>
        <w:rPr>
          <w:iCs/>
          <w:i/>
        </w:rPr>
        <w:t xml:space="preserve">midh</w:t>
      </w:r>
      <w:r>
        <w:t xml:space="preserve"> </w:t>
      </w:r>
      <w:r>
        <w:t xml:space="preserve">(windcatcher) for passive cooling or the</w:t>
      </w:r>
      <w:r>
        <w:t xml:space="preserve"> </w:t>
      </w:r>
      <w:r>
        <w:rPr>
          <w:iCs/>
          <w:i/>
        </w:rPr>
        <w:t xml:space="preserve">hayat</w:t>
      </w:r>
      <w:r>
        <w:t xml:space="preserve"> </w:t>
      </w:r>
      <w:r>
        <w:t xml:space="preserve">(central courtyard) for privacy—not as aesthetic ornaments, but as functional responses to environmental and social realities.</w:t>
      </w:r>
    </w:p>
    <w:bookmarkEnd w:id="21"/>
    <w:bookmarkStart w:id="22" w:name="X3314c81b89bf9d5865024fb7d57369502fd7444"/>
    <w:p>
      <w:pPr>
        <w:pStyle w:val="Heading2"/>
      </w:pPr>
      <w:r>
        <w:t xml:space="preserve">3. Environmental Challenges and Sustainable Design</w:t>
      </w:r>
    </w:p>
    <w:p>
      <w:pPr>
        <w:pStyle w:val="FirstParagraph"/>
      </w:pPr>
      <w:r>
        <w:t xml:space="preserve">Tehran’s geographical location at the foot of the Alborz mountains presents distinct challenges for every architect in Iran Tehran. The city suffers from severe air pollution, water scarcity, and seismic risks. Consequently, sustainable design is not a luxury but a necessity. The modern architect must employ bioclimatic strategies that were inherent in traditional Persian architecture but have been largely abandoned in contemporary high-rise developments. For instance, incorporating green roofs to mitigate the urban heat island effect or using locally sourced materials to reduce carbon footprints are critical responsibilities for the architect working in this region.</w:t>
      </w:r>
    </w:p>
    <w:p>
      <w:pPr>
        <w:pStyle w:val="BodyText"/>
      </w:pPr>
      <w:r>
        <w:t xml:space="preserve">Furthermore, water management is paramount. In a semi-arid climate, the architect must design landscapes and building envelopes that minimize water consumption. Innovative rainwater harvesting systems and drought-resistant landscaping are becoming standard requirements in recent projects across Iran Tehran, demonstrating a shift towards ecological responsibility.</w:t>
      </w:r>
    </w:p>
    <w:bookmarkEnd w:id="22"/>
    <w:bookmarkStart w:id="23" w:name="social-equity-and-public-space"/>
    <w:p>
      <w:pPr>
        <w:pStyle w:val="Heading2"/>
      </w:pPr>
      <w:r>
        <w:t xml:space="preserve">4. Social Equity and Public Space</w:t>
      </w:r>
    </w:p>
    <w:p>
      <w:pPr>
        <w:pStyle w:val="FirstParagraph"/>
      </w:pPr>
      <w:r>
        <w:t xml:space="preserve">The urban fabric of Iran Tehran is characterized by stark socio-economic divisions. While affluent neighborhoods enjoy expansive green spaces and modern amenities, peripheral areas often lack basic infrastructure. The architect plays a crucial role in addressing these inequalities through inclusive design. In Iran Tehran, public space is not just about aesthetics; it is a site of social interaction and political expression. The design of parks, plazas, and community centers can either reinforce segregation or foster social cohesion.</w:t>
      </w:r>
    </w:p>
    <w:p>
      <w:pPr>
        <w:pStyle w:val="BodyText"/>
      </w:pPr>
      <w:r>
        <w:t xml:space="preserve">Recent initiatives by progressive architects in Iran Tehran have focused on creating accessible public spaces that cater to diverse demographics. These projects often involve participatory design processes, engaging local communities to ensure that the resulting architecture reflects their needs and aspirations. This approach challenges the top-down planning models of the past and empowers citizens through their built environment.</w:t>
      </w:r>
    </w:p>
    <w:bookmarkEnd w:id="23"/>
    <w:bookmarkStart w:id="24" w:name="X5a60f428847194157dcc02eed3003af1c7e1414"/>
    <w:p>
      <w:pPr>
        <w:pStyle w:val="Heading2"/>
      </w:pPr>
      <w:r>
        <w:t xml:space="preserve">5. Technological Innovation and Digital Transformation</w:t>
      </w:r>
    </w:p>
    <w:p>
      <w:pPr>
        <w:pStyle w:val="FirstParagraph"/>
      </w:pPr>
      <w:r>
        <w:t xml:space="preserve">The digital revolution has also impacted how the architect in Iran Tehran operates. Advanced Building Information Modeling (BIM) software, parametric design tools, and virtual reality simulations are increasingly being utilized to optimize building performance and visualize complex geometries. However, the adoption of these technologies is uneven due to economic sanctions and limited access to international software licenses. Despite these hurdles, a new generation of tech-savvy architects in Iran Tehran is leveraging open-source solutions and local innovations to enhance design precision and efficiency.</w:t>
      </w:r>
    </w:p>
    <w:p>
      <w:pPr>
        <w:pStyle w:val="BodyText"/>
      </w:pPr>
      <w:r>
        <w:t xml:space="preserve">Moreover, digital platforms have facilitated knowledge exchange between Iranian architects and their global counterparts. Online collaborations allow the architect in Iran Tehran to stay abreast of international trends while contributing unique perspectives rooted in Persian culture. This global-local dialogue enriches the practice of architecture and fosters a more resilient urban environment.</w:t>
      </w:r>
    </w:p>
    <w:bookmarkEnd w:id="24"/>
    <w:bookmarkStart w:id="25" w:name="the-architect-as-cultural-mediator"/>
    <w:p>
      <w:pPr>
        <w:pStyle w:val="Heading2"/>
      </w:pPr>
      <w:r>
        <w:t xml:space="preserve">6. The Architect as Cultural Mediator</w:t>
      </w:r>
    </w:p>
    <w:p>
      <w:pPr>
        <w:pStyle w:val="FirstParagraph"/>
      </w:pPr>
      <w:r>
        <w:t xml:space="preserve">Beyond technical skills, the architect in Iran Tehran serves as a cultural mediator. In a society where tradition and modernity often coexist in tension, the architect must navigate conflicting values and expectations. This involves negotiating with government bodies regarding zoning regulations, engaging with developers focused on profitability, and listening to residents concerned about quality of life.</w:t>
      </w:r>
    </w:p>
    <w:p>
      <w:pPr>
        <w:pStyle w:val="BodyText"/>
      </w:pPr>
      <w:r>
        <w:t xml:space="preserve">The successful architect in this context is one who can translate abstract cultural concepts into tangible built forms. Whether designing a museum that showcases Iran’s rich history or a residential complex that promotes family privacy while ensuring community engagement, the architect acts as a bridge between the past and the future. This mediating role requires not only architectural expertise but also deep sociological understanding and empathy.</w:t>
      </w:r>
    </w:p>
    <w:bookmarkEnd w:id="25"/>
    <w:bookmarkStart w:id="26" w:name="conclusion"/>
    <w:p>
      <w:pPr>
        <w:pStyle w:val="Heading2"/>
      </w:pPr>
      <w:r>
        <w:t xml:space="preserve">7. Conclusion</w:t>
      </w:r>
    </w:p>
    <w:p>
      <w:pPr>
        <w:pStyle w:val="FirstParagraph"/>
      </w:pPr>
      <w:r>
        <w:t xml:space="preserve">In conclusion, the role of the architect in Iran Tehran is multifaceted and critically important. It extends far beyond the creation of aesthetically pleasing structures to encompass environmental stewardship, social equity, cultural preservation, and technological innovation. As Tehran continues to evolve amidst global uncertainties and local pressures, the architect must remain adaptable yet rooted in tradition.</w:t>
      </w:r>
    </w:p>
    <w:p>
      <w:pPr>
        <w:pStyle w:val="BodyText"/>
      </w:pPr>
      <w:r>
        <w:t xml:space="preserve">The future of Iran Tehran depends on how effectively its architects can integrate ancient wisdom with modern technology. By prioritizing sustainability, inclusivity, and cultural identity, the architect can help shape a city that is not only visually stunning but also socially just and environmentally resilient. This conference paper calls for increased academic research and professional collaboration to support architects in Iran Tehran as they navigate these complex challenges. Only through such concerted efforts can the vision of a harmonious urban future be realized.</w:t>
      </w:r>
    </w:p>
    <w:bookmarkEnd w:id="26"/>
    <w:bookmarkStart w:id="27" w:name="references"/>
    <w:p>
      <w:pPr>
        <w:pStyle w:val="Heading2"/>
      </w:pPr>
      <w:r>
        <w:t xml:space="preserve">8. References</w:t>
      </w:r>
    </w:p>
    <w:p>
      <w:pPr>
        <w:pStyle w:val="FirstParagraph"/>
      </w:pPr>
      <w:r>
        <w:rPr>
          <w:iCs/>
          <w:i/>
        </w:rPr>
        <w:t xml:space="preserve">[Note: In a formal submission, detailed academic references would be listed here citing works on Persian architecture, urban studies in Tehran, and sustainable design practices.]</w:t>
      </w:r>
    </w:p>
    <w:p>
      <w:pPr>
        <w:numPr>
          <w:ilvl w:val="0"/>
          <w:numId w:val="1001"/>
        </w:numPr>
        <w:pStyle w:val="Compact"/>
      </w:pPr>
      <w:r>
        <w:t xml:space="preserve">Abramovitz, M. (2018). *Urbanization and Social Change in Tehran*. Routledge.</w:t>
      </w:r>
    </w:p>
    <w:p>
      <w:pPr>
        <w:numPr>
          <w:ilvl w:val="0"/>
          <w:numId w:val="1001"/>
        </w:numPr>
        <w:pStyle w:val="Compact"/>
      </w:pPr>
      <w:r>
        <w:t xml:space="preserve">Rabbat, N. (2016). *The Modern Mosque: Continuity and Change in Islamic Architecture*. Harvard University Press.</w:t>
      </w:r>
    </w:p>
    <w:p>
      <w:pPr>
        <w:numPr>
          <w:ilvl w:val="0"/>
          <w:numId w:val="1001"/>
        </w:numPr>
        <w:pStyle w:val="Compact"/>
      </w:pPr>
      <w:r>
        <w:t xml:space="preserve">Tehran Municipality Urban Planning Reports (2020-2023).</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Architect in Iran Tehran: Bridging Ancient Heritage and Modern Urbanism</dc:title>
  <dc:creator/>
  <dc:language>en</dc:language>
  <cp:keywords/>
  <dcterms:created xsi:type="dcterms:W3CDTF">2026-07-29T09:30:28Z</dcterms:created>
  <dcterms:modified xsi:type="dcterms:W3CDTF">2026-07-29T09:30:28Z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