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Navigating</w:t>
      </w:r>
      <w:r>
        <w:t xml:space="preserve"> </w:t>
      </w:r>
      <w:r>
        <w:t xml:space="preserve">Identity,</w:t>
      </w:r>
      <w:r>
        <w:t xml:space="preserve"> </w:t>
      </w:r>
      <w:r>
        <w:t xml:space="preserve">Density,</w:t>
      </w:r>
      <w:r>
        <w:t xml:space="preserve"> </w:t>
      </w:r>
      <w:r>
        <w:t xml:space="preserve">and</w:t>
      </w:r>
      <w:r>
        <w:t xml:space="preserve"> </w:t>
      </w:r>
      <w:r>
        <w:t xml:space="preserve">Sustainability</w:t>
      </w:r>
    </w:p>
    <w:bookmarkStart w:id="70" w:name="X7c74d0c5d72dd3c93bfe237b090d9928b2d2593"/>
    <w:p>
      <w:pPr>
        <w:pStyle w:val="Heading1"/>
      </w:pPr>
      <w:r>
        <w:t xml:space="preserve">The Architect in Israel Tel Aviv</w:t>
      </w:r>
      <w:r>
        <w:br/>
      </w:r>
      <w:r>
        <w:t xml:space="preserve">Navigating Identity, Density, and Sustainability in a Hyper-Complex Urban Fabric</w:t>
      </w:r>
    </w:p>
    <w:p>
      <w:pPr>
        <w:pStyle w:val="FirstParagraph"/>
      </w:pPr>
      <w:r>
        <w:rPr>
          <w:bCs/>
          <w:b/>
        </w:rPr>
        <w:t xml:space="preserve">Abstract:</w:t>
      </w:r>
      <w:r>
        <w:t xml:space="preserve"> </w:t>
      </w:r>
      <w:r>
        <w:t xml:space="preserve">This paper explores the multifaceted role of the</w:t>
      </w:r>
      <w:r>
        <w:t xml:space="preserve"> </w:t>
      </w:r>
      <w:r>
        <w:rPr>
          <w:iCs/>
          <w:i/>
        </w:rPr>
        <w:t xml:space="preserve">Architect</w:t>
      </w:r>
      <w:r>
        <w:t xml:space="preserve"> </w:t>
      </w:r>
      <w:r>
        <w:t xml:space="preserve">operating within the unique socio-political and environmental context of</w:t>
      </w:r>
      <w:r>
        <w:t xml:space="preserve"> </w:t>
      </w:r>
      <w:r>
        <w:rPr>
          <w:iCs/>
          <w:i/>
        </w:rPr>
        <w:t xml:space="preserve">Israel Tel Aviv</w:t>
      </w:r>
      <w:r>
        <w:t xml:space="preserve">. As one of the densest cities in the world, Tel Aviv presents a paradoxical challenge: preserving cultural heritage while accommodating rapid urban growth. This study examines how contemporary designers are redefining professional practice by integrating sustainable technologies with historical preservation, addressing land scarcity, and fostering social cohesion in a fragmented urban landscape.</w:t>
      </w:r>
    </w:p>
    <w:bookmarkStart w:id="26" w:name="introduction"/>
    <w:p>
      <w:pPr>
        <w:pStyle w:val="Heading3"/>
      </w:pPr>
      <w:r>
        <w:t xml:space="preserve">1. Introduction</w:t>
      </w:r>
    </w:p>
    <w:p>
      <w:pPr>
        <w:pStyle w:val="FirstParagraph"/>
      </w:pPr>
      <w:r>
        <w:t xml:space="preserve">The profession of the</w:t>
      </w:r>
      <w:r>
        <w:t xml:space="preserve"> </w:t>
      </w:r>
      <w:r>
        <w:rPr>
          <w:iCs/>
          <w:i/>
        </w:rPr>
        <w:t xml:space="preserve">Architect</w:t>
      </w:r>
      <w:bookmarkStart w:id="20" w:name="FN1"/>
      <w:bookmarkEnd w:id="20"/>
      <w:r>
        <w:t xml:space="preserve">[</w:t>
      </w:r>
    </w:p>
    <w:p>
      <w:pPr>
        <w:pStyle w:val="BodyText"/>
      </w:pPr>
      <w:hyperlink w:anchor="FN1">
        <w:r>
          <w:rPr>
            <w:rStyle w:val="Hyperlink"/>
          </w:rPr>
          <w:t xml:space="preserve">1</w:t>
        </w:r>
      </w:hyperlink>
      <w:r>
        <w:t xml:space="preserve">] in the 21st century is no longer confined to aesthetic formulation; it has evolved into a complex discipline of urban negotiation, environmental stewardship, and cultural mediation. Nowhere is this evolution more critical than in</w:t>
      </w:r>
      <w:r>
        <w:t xml:space="preserve"> </w:t>
      </w:r>
      <w:r>
        <w:rPr>
          <w:iCs/>
          <w:i/>
        </w:rPr>
        <w:t xml:space="preserve">Israel Tel Aviv</w:t>
      </w:r>
      <w:r>
        <w:t xml:space="preserve">, a city that serves as the economic and cultural heartbeat of Israel. Situated on the Mediterranean coast,</w:t>
      </w:r>
      <w:r>
        <w:t xml:space="preserve"> </w:t>
      </w:r>
      <w:r>
        <w:rPr>
          <w:iCs/>
          <w:i/>
        </w:rPr>
        <w:t xml:space="preserve">Israel Tel Aviv</w:t>
      </w:r>
      <w:bookmarkStart w:id="21" w:name="FN2"/>
      <w:bookmarkEnd w:id="21"/>
      <w:r>
        <w:t xml:space="preserve">[</w:t>
      </w:r>
    </w:p>
    <w:p>
      <w:pPr>
        <w:pStyle w:val="BodyText"/>
      </w:pPr>
      <w:hyperlink w:anchor="FN2">
        <w:r>
          <w:rPr>
            <w:rStyle w:val="Hyperlink"/>
          </w:rPr>
          <w:t xml:space="preserve">2</w:t>
        </w:r>
      </w:hyperlink>
      <w:r>
        <w:t xml:space="preserve">] is characterized by its white city—a UNESCO World Heritage site known for its Bauhaus International Style architecture—and its relentless vertical expansion.</w:t>
      </w:r>
    </w:p>
    <w:p>
      <w:pPr>
        <w:pStyle w:val="BodyText"/>
      </w:pPr>
      <w:r>
        <w:t xml:space="preserve">The role of the</w:t>
      </w:r>
      <w:r>
        <w:t xml:space="preserve"> </w:t>
      </w:r>
      <w:r>
        <w:rPr>
          <w:iCs/>
          <w:i/>
        </w:rPr>
        <w:t xml:space="preserve">Architect</w:t>
      </w:r>
      <w:bookmarkStart w:id="22" w:name="FN1"/>
      <w:bookmarkEnd w:id="22"/>
      <w:r>
        <w:t xml:space="preserve">[</w:t>
      </w:r>
    </w:p>
    <w:p>
      <w:pPr>
        <w:pStyle w:val="BodyText"/>
      </w:pPr>
      <w:hyperlink w:anchor="FN1">
        <w:r>
          <w:rPr>
            <w:rStyle w:val="Hyperlink"/>
          </w:rPr>
          <w:t xml:space="preserve">1</w:t>
        </w:r>
      </w:hyperlink>
      <w:r>
        <w:t xml:space="preserve">] in this specific locale is fraught with challenges. The city faces a severe housing crisis, intense heat island effects due to climate change, and a pressing need to balance tourism with the quality of life for residents. This paper argues that the modern</w:t>
      </w:r>
      <w:r>
        <w:t xml:space="preserve"> </w:t>
      </w:r>
      <w:r>
        <w:rPr>
          <w:iCs/>
          <w:i/>
        </w:rPr>
        <w:t xml:space="preserve">Architect</w:t>
      </w:r>
      <w:bookmarkStart w:id="23" w:name="FN1"/>
      <w:bookmarkEnd w:id="23"/>
      <w:r>
        <w:t xml:space="preserve">[</w:t>
      </w:r>
    </w:p>
    <w:p>
      <w:pPr>
        <w:pStyle w:val="BodyText"/>
      </w:pPr>
      <w:hyperlink w:anchor="FN1">
        <w:r>
          <w:rPr>
            <w:rStyle w:val="Hyperlink"/>
          </w:rPr>
          <w:t xml:space="preserve">1</w:t>
        </w:r>
      </w:hyperlink>
      <w:r>
        <w:t xml:space="preserve">] in</w:t>
      </w:r>
      <w:r>
        <w:t xml:space="preserve"> </w:t>
      </w:r>
      <w:r>
        <w:rPr>
          <w:iCs/>
          <w:i/>
        </w:rPr>
        <w:t xml:space="preserve">Israel Tel Aviv</w:t>
      </w:r>
      <w:bookmarkStart w:id="24" w:name="FN2"/>
      <w:bookmarkEnd w:id="24"/>
      <w:r>
        <w:t xml:space="preserve">[</w:t>
      </w:r>
    </w:p>
    <w:p>
      <w:pPr>
        <w:pStyle w:val="BodyText"/>
      </w:pPr>
      <w:hyperlink w:anchor="FN2">
        <w:r>
          <w:rPr>
            <w:rStyle w:val="Hyperlink"/>
          </w:rPr>
          <w:t xml:space="preserve">2</w:t>
        </w:r>
      </w:hyperlink>
      <w:r>
        <w:t xml:space="preserve">] must function as a hybrid professional: part conservator, part engineer, and part community advocate. By analyzing recent case studies and policy shifts, we demonstrate how architectural interventions in</w:t>
      </w:r>
      <w:r>
        <w:t xml:space="preserve"> </w:t>
      </w:r>
      <w:r>
        <w:rPr>
          <w:iCs/>
          <w:i/>
        </w:rPr>
        <w:t xml:space="preserve">Israel Tel Aviv</w:t>
      </w:r>
      <w:bookmarkStart w:id="25" w:name="FN2"/>
      <w:bookmarkEnd w:id="25"/>
      <w:r>
        <w:t xml:space="preserve">[</w:t>
      </w:r>
    </w:p>
    <w:p>
      <w:pPr>
        <w:pStyle w:val="BodyText"/>
      </w:pPr>
      <w:hyperlink w:anchor="FN2">
        <w:r>
          <w:rPr>
            <w:rStyle w:val="Hyperlink"/>
          </w:rPr>
          <w:t xml:space="preserve">2</w:t>
        </w:r>
      </w:hyperlink>
      <w:r>
        <w:t xml:space="preserve">] are reshaping the urban narrative.</w:t>
      </w:r>
    </w:p>
    <w:bookmarkEnd w:id="26"/>
    <w:bookmarkStart w:id="39" w:name="Xd0bcdaf99dc216e20b67634a488e3010e5f7dea"/>
    <w:p>
      <w:pPr>
        <w:pStyle w:val="Heading3"/>
      </w:pPr>
      <w:r>
        <w:t xml:space="preserve">2. The Context of Density and Heritage in Israel Tel Aviv</w:t>
      </w:r>
    </w:p>
    <w:p>
      <w:pPr>
        <w:pStyle w:val="FirstParagraph"/>
      </w:pPr>
      <w:r>
        <w:t xml:space="preserve">To understand the responsibilities of an</w:t>
      </w:r>
      <w:r>
        <w:t xml:space="preserve"> </w:t>
      </w:r>
      <w:r>
        <w:rPr>
          <w:iCs/>
          <w:i/>
        </w:rPr>
        <w:t xml:space="preserve">Architect</w:t>
      </w:r>
      <w:bookmarkStart w:id="27" w:name="FN1"/>
      <w:bookmarkEnd w:id="27"/>
      <w:r>
        <w:t xml:space="preserve">[</w:t>
      </w:r>
    </w:p>
    <w:p>
      <w:pPr>
        <w:pStyle w:val="BodyText"/>
      </w:pPr>
      <w:hyperlink w:anchor="FN1">
        <w:r>
          <w:rPr>
            <w:rStyle w:val="Hyperlink"/>
          </w:rPr>
          <w:t xml:space="preserve">1</w:t>
        </w:r>
      </w:hyperlink>
      <w:r>
        <w:t xml:space="preserve">] in this region, one must first grasp the physical constraints of</w:t>
      </w:r>
      <w:r>
        <w:t xml:space="preserve"> </w:t>
      </w:r>
      <w:r>
        <w:rPr>
          <w:iCs/>
          <w:i/>
        </w:rPr>
        <w:t xml:space="preserve">Israel Tel Aviv</w:t>
      </w:r>
      <w:bookmarkStart w:id="28" w:name="FN2"/>
      <w:bookmarkEnd w:id="28"/>
      <w:r>
        <w:t xml:space="preserve">[</w:t>
      </w:r>
    </w:p>
    <w:p>
      <w:pPr>
        <w:pStyle w:val="BodyText"/>
      </w:pPr>
      <w:hyperlink w:anchor="FN2">
        <w:r>
          <w:rPr>
            <w:rStyle w:val="Hyperlink"/>
          </w:rPr>
          <w:t xml:space="preserve">2</w:t>
        </w:r>
      </w:hyperlink>
      <w:r>
        <w:t xml:space="preserve">]. The city is densely populated, with a high ratio of residents per square kilometer. This density creates immense pressure on infrastructure and green spaces. Furthermore, the historical significance of</w:t>
      </w:r>
      <w:r>
        <w:t xml:space="preserve"> </w:t>
      </w:r>
      <w:r>
        <w:rPr>
          <w:iCs/>
          <w:i/>
        </w:rPr>
        <w:t xml:space="preserve">Israel Tel Aviv</w:t>
      </w:r>
      <w:bookmarkStart w:id="29" w:name="FN2"/>
      <w:bookmarkEnd w:id="29"/>
      <w:r>
        <w:t xml:space="preserve">[</w:t>
      </w:r>
    </w:p>
    <w:p>
      <w:pPr>
        <w:pStyle w:val="BodyText"/>
      </w:pPr>
      <w:hyperlink w:anchor="FN2">
        <w:r>
          <w:rPr>
            <w:rStyle w:val="Hyperlink"/>
          </w:rPr>
          <w:t xml:space="preserve">2</w:t>
        </w:r>
      </w:hyperlink>
      <w:r>
        <w:t xml:space="preserve">] means that new developments must navigate strict preservation laws regarding the "White City."</w:t>
      </w:r>
    </w:p>
    <w:bookmarkStart w:id="34" w:name="the-bauhaus-legacy-and-modern-adaptation"/>
    <w:p>
      <w:pPr>
        <w:pStyle w:val="Heading4"/>
      </w:pPr>
      <w:r>
        <w:t xml:space="preserve">2.1 The Bauhaus Legacy and Modern Adaptation</w:t>
      </w:r>
    </w:p>
    <w:p>
      <w:pPr>
        <w:pStyle w:val="FirstParagraph"/>
      </w:pPr>
      <w:r>
        <w:t xml:space="preserve">The</w:t>
      </w:r>
      <w:r>
        <w:t xml:space="preserve"> </w:t>
      </w:r>
      <w:r>
        <w:rPr>
          <w:iCs/>
          <w:i/>
        </w:rPr>
        <w:t xml:space="preserve">Architect</w:t>
      </w:r>
      <w:bookmarkStart w:id="30" w:name="FN1"/>
      <w:bookmarkEnd w:id="30"/>
      <w:r>
        <w:t xml:space="preserve">[</w:t>
      </w:r>
    </w:p>
    <w:p>
      <w:pPr>
        <w:pStyle w:val="BodyText"/>
      </w:pPr>
      <w:hyperlink w:anchor="FN1">
        <w:r>
          <w:rPr>
            <w:rStyle w:val="Hyperlink"/>
          </w:rPr>
          <w:t xml:space="preserve">1</w:t>
        </w:r>
      </w:hyperlink>
      <w:r>
        <w:t xml:space="preserve">] in</w:t>
      </w:r>
      <w:r>
        <w:t xml:space="preserve"> </w:t>
      </w:r>
      <w:r>
        <w:rPr>
          <w:iCs/>
          <w:i/>
        </w:rPr>
        <w:t xml:space="preserve">Israel Tel Aviv</w:t>
      </w:r>
      <w:bookmarkStart w:id="31" w:name="FN2"/>
      <w:bookmarkEnd w:id="31"/>
      <w:r>
        <w:t xml:space="preserve">[</w:t>
      </w:r>
    </w:p>
    <w:p>
      <w:pPr>
        <w:pStyle w:val="BodyText"/>
      </w:pPr>
      <w:hyperlink w:anchor="FN2">
        <w:r>
          <w:rPr>
            <w:rStyle w:val="Hyperlink"/>
          </w:rPr>
          <w:t xml:space="preserve">2</w:t>
        </w:r>
      </w:hyperlink>
      <w:r>
        <w:t xml:space="preserve">] often works within the shell of mid-20th-century structures. The challenge is to retrofit these buildings for modern energy efficiency without altering their historical facades. This requires a nuanced understanding of materials and construction techniques that respect the original design intent while meeting current Israeli building codes. The</w:t>
      </w:r>
      <w:r>
        <w:t xml:space="preserve"> </w:t>
      </w:r>
      <w:r>
        <w:rPr>
          <w:iCs/>
          <w:i/>
        </w:rPr>
        <w:t xml:space="preserve">Architect</w:t>
      </w:r>
      <w:bookmarkStart w:id="32" w:name="FN1"/>
      <w:bookmarkEnd w:id="32"/>
      <w:r>
        <w:t xml:space="preserve">[</w:t>
      </w:r>
    </w:p>
    <w:p>
      <w:pPr>
        <w:pStyle w:val="BodyText"/>
      </w:pPr>
      <w:hyperlink w:anchor="FN1">
        <w:r>
          <w:rPr>
            <w:rStyle w:val="Hyperlink"/>
          </w:rPr>
          <w:t xml:space="preserve">1</w:t>
        </w:r>
      </w:hyperlink>
      <w:r>
        <w:t xml:space="preserve">] becomes a mediator between the past and the future, ensuring that the identity of</w:t>
      </w:r>
      <w:r>
        <w:t xml:space="preserve"> </w:t>
      </w:r>
      <w:r>
        <w:rPr>
          <w:iCs/>
          <w:i/>
        </w:rPr>
        <w:t xml:space="preserve">Israel Tel Aviv</w:t>
      </w:r>
      <w:bookmarkStart w:id="33" w:name="FN2"/>
      <w:bookmarkEnd w:id="33"/>
      <w:r>
        <w:t xml:space="preserve">[</w:t>
      </w:r>
    </w:p>
    <w:p>
      <w:pPr>
        <w:pStyle w:val="BodyText"/>
      </w:pPr>
      <w:hyperlink w:anchor="FN2">
        <w:r>
          <w:rPr>
            <w:rStyle w:val="Hyperlink"/>
          </w:rPr>
          <w:t xml:space="preserve">2</w:t>
        </w:r>
      </w:hyperlink>
      <w:r>
        <w:t xml:space="preserve">] is not erased by generic modernism.</w:t>
      </w:r>
    </w:p>
    <w:bookmarkEnd w:id="34"/>
    <w:bookmarkStart w:id="38" w:name="Xc6885508e4dd2ab0ee644d45a24c51a5ecd7f16"/>
    <w:p>
      <w:pPr>
        <w:pStyle w:val="Heading4"/>
      </w:pPr>
      <w:r>
        <w:t xml:space="preserve">2.2 Vertical Expansion and Skyline Alteration</w:t>
      </w:r>
    </w:p>
    <w:p>
      <w:pPr>
        <w:pStyle w:val="FirstParagraph"/>
      </w:pPr>
      <w:r>
        <w:t xml:space="preserve">In recent decades, the skyline of</w:t>
      </w:r>
      <w:r>
        <w:t xml:space="preserve"> </w:t>
      </w:r>
      <w:r>
        <w:rPr>
          <w:iCs/>
          <w:i/>
        </w:rPr>
        <w:t xml:space="preserve">Israel Tel Aviv</w:t>
      </w:r>
      <w:bookmarkStart w:id="35" w:name="FN2"/>
      <w:bookmarkEnd w:id="35"/>
      <w:r>
        <w:t xml:space="preserve">[</w:t>
      </w:r>
    </w:p>
    <w:p>
      <w:pPr>
        <w:pStyle w:val="BodyText"/>
      </w:pPr>
      <w:hyperlink w:anchor="FN2">
        <w:r>
          <w:rPr>
            <w:rStyle w:val="Hyperlink"/>
          </w:rPr>
          <w:t xml:space="preserve">2</w:t>
        </w:r>
      </w:hyperlink>
      <w:r>
        <w:t xml:space="preserve">] has changed dramatically. The push for vertical living has led to the construction of high-rise towers that sometimes overshadow the low-rise heritage neighborhoods. Here, the</w:t>
      </w:r>
      <w:r>
        <w:t xml:space="preserve"> </w:t>
      </w:r>
      <w:r>
        <w:rPr>
          <w:iCs/>
          <w:i/>
        </w:rPr>
        <w:t xml:space="preserve">Architect</w:t>
      </w:r>
      <w:bookmarkStart w:id="36" w:name="FN1"/>
      <w:bookmarkEnd w:id="36"/>
      <w:r>
        <w:t xml:space="preserve">[</w:t>
      </w:r>
    </w:p>
    <w:p>
      <w:pPr>
        <w:pStyle w:val="BodyText"/>
      </w:pPr>
      <w:hyperlink w:anchor="FN1">
        <w:r>
          <w:rPr>
            <w:rStyle w:val="Hyperlink"/>
          </w:rPr>
          <w:t xml:space="preserve">1</w:t>
        </w:r>
      </w:hyperlink>
      <w:r>
        <w:t xml:space="preserve">] must balance commercial viability with aesthetic sensitivity. The goal is to create a skyline that reflects the dynamism of</w:t>
      </w:r>
      <w:r>
        <w:t xml:space="preserve"> </w:t>
      </w:r>
      <w:r>
        <w:rPr>
          <w:iCs/>
          <w:i/>
        </w:rPr>
        <w:t xml:space="preserve">Israel Tel Aviv</w:t>
      </w:r>
      <w:bookmarkStart w:id="37" w:name="FN2"/>
      <w:bookmarkEnd w:id="37"/>
      <w:r>
        <w:t xml:space="preserve">[</w:t>
      </w:r>
    </w:p>
    <w:p>
      <w:pPr>
        <w:pStyle w:val="BodyText"/>
      </w:pPr>
      <w:hyperlink w:anchor="FN2">
        <w:r>
          <w:rPr>
            <w:rStyle w:val="Hyperlink"/>
          </w:rPr>
          <w:t xml:space="preserve">2</w:t>
        </w:r>
      </w:hyperlink>
      <w:r>
        <w:t xml:space="preserve">] without disrupting the visual harmony of its historic districts.</w:t>
      </w:r>
    </w:p>
    <w:bookmarkEnd w:id="38"/>
    <w:bookmarkEnd w:id="39"/>
    <w:bookmarkStart w:id="50" w:name="X4a7e79817855bb2c7294c877afd517e67db793c"/>
    <w:p>
      <w:pPr>
        <w:pStyle w:val="Heading3"/>
      </w:pPr>
      <w:r>
        <w:t xml:space="preserve">3. Sustainability as a Professional Imperative</w:t>
      </w:r>
    </w:p>
    <w:p>
      <w:pPr>
        <w:pStyle w:val="FirstParagraph"/>
      </w:pPr>
      <w:r>
        <w:t xml:space="preserve">The climate crisis has made sustainability a non-negotiable aspect of architectural practice in</w:t>
      </w:r>
      <w:r>
        <w:t xml:space="preserve"> </w:t>
      </w:r>
      <w:r>
        <w:rPr>
          <w:iCs/>
          <w:i/>
        </w:rPr>
        <w:t xml:space="preserve">Israel Tel Aviv</w:t>
      </w:r>
      <w:bookmarkStart w:id="40" w:name="FN2"/>
      <w:bookmarkEnd w:id="40"/>
      <w:r>
        <w:t xml:space="preserve">[</w:t>
      </w:r>
    </w:p>
    <w:p>
      <w:pPr>
        <w:pStyle w:val="BodyText"/>
      </w:pPr>
      <w:hyperlink w:anchor="FN2">
        <w:r>
          <w:rPr>
            <w:rStyle w:val="Hyperlink"/>
          </w:rPr>
          <w:t xml:space="preserve">2</w:t>
        </w:r>
      </w:hyperlink>
      <w:r>
        <w:t xml:space="preserve">. With rising temperatures and water scarcity, the</w:t>
      </w:r>
      <w:r>
        <w:t xml:space="preserve"> </w:t>
      </w:r>
      <w:r>
        <w:rPr>
          <w:iCs/>
          <w:i/>
        </w:rPr>
        <w:t xml:space="preserve">Architect</w:t>
      </w:r>
      <w:bookmarkStart w:id="41" w:name="FN1"/>
      <w:bookmarkEnd w:id="41"/>
      <w:r>
        <w:t xml:space="preserve">[</w:t>
      </w:r>
    </w:p>
    <w:p>
      <w:pPr>
        <w:pStyle w:val="BodyText"/>
      </w:pPr>
      <w:r>
        <w:t xml:space="preserve">1&lt;/&gt;] is tasked with designing resilient buildings. This goes beyond energy efficiency; it involves creating urban environments that mitigate heat islands and manage stormwater runoff.</w:t>
      </w:r>
    </w:p>
    <w:bookmarkStart w:id="45" w:name="passive-design-strategies"/>
    <w:p>
      <w:pPr>
        <w:pStyle w:val="Heading4"/>
      </w:pPr>
      <w:r>
        <w:t xml:space="preserve">3.1 Passive Design Strategies</w:t>
      </w:r>
    </w:p>
    <w:p>
      <w:pPr>
        <w:pStyle w:val="FirstParagraph"/>
      </w:pPr>
      <w:r>
        <w:t xml:space="preserve">The traditional architecture of</w:t>
      </w:r>
      <w:r>
        <w:t xml:space="preserve"> </w:t>
      </w:r>
      <w:r>
        <w:rPr>
          <w:iCs/>
          <w:i/>
        </w:rPr>
        <w:t xml:space="preserve">Israel Tel Aviv</w:t>
      </w:r>
      <w:bookmarkStart w:id="42" w:name="FN2"/>
      <w:bookmarkEnd w:id="42"/>
      <w:r>
        <w:t xml:space="preserve">[</w:t>
      </w:r>
      <w:hyperlink w:anchor="FN2">
        <w:r>
          <w:rPr>
            <w:rStyle w:val="Hyperlink"/>
            <w:vertAlign w:val="superscript"/>
          </w:rPr>
          <w:t xml:space="preserve">2Architects</w:t>
        </w:r>
      </w:hyperlink>
      <w:bookmarkStart w:id="43" w:name="FN1"/>
      <w:bookmarkEnd w:id="43"/>
      <w:r>
        <w:rPr>
          <w:vertAlign w:val="superscript"/>
        </w:rPr>
        <w:t xml:space="preserve">[</w:t>
      </w:r>
      <w:hyperlink w:anchor="FN1">
        <w:r>
          <w:rPr>
            <w:rStyle w:val="Hyperlink"/>
            <w:vertAlign w:val="superscript"/>
            <w:vertAlign w:val="superscript"/>
          </w:rPr>
          <w:t xml:space="preserve">1&lt;/&gt;] are revisiting these passive design strategies, integrating them with smart technology. For instance, new developments in</w:t>
        </w:r>
        <w:r>
          <w:rPr>
            <w:rStyle w:val="Hyperlink"/>
            <w:vertAlign w:val="superscript"/>
            <w:vertAlign w:val="superscript"/>
          </w:rPr>
          <w:t xml:space="preserve"> </w:t>
        </w:r>
        <w:r>
          <w:rPr>
            <w:rStyle w:val="Hyperlink"/>
            <w:iCs/>
            <w:i/>
            <w:vertAlign w:val="superscript"/>
            <w:vertAlign w:val="superscript"/>
          </w:rPr>
          <w:t xml:space="preserve">Israel Tel Aviv</w:t>
        </w:r>
      </w:hyperlink>
      <w:bookmarkStart w:id="44" w:name="FN2"/>
      <w:bookmarkEnd w:id="44"/>
      <w:r>
        <w:rPr>
          <w:vertAlign w:val="superscript"/>
          <w:vertAlign w:val="superscript"/>
        </w:rPr>
        <w:t xml:space="preserve">[</w:t>
      </w:r>
      <w:hyperlink w:anchor="FN2">
        <w:r>
          <w:rPr>
            <w:rStyle w:val="Hyperlink"/>
            <w:vertAlign w:val="superscript"/>
            <w:vertAlign w:val="superscript"/>
            <w:vertAlign w:val="superscript"/>
          </w:rPr>
          <w:t xml:space="preserve">2</w:t>
        </w:r>
      </w:hyperlink>
    </w:p>
    <w:bookmarkEnd w:id="45"/>
    <w:bookmarkStart w:id="49" w:name="water-management-and-resource-efficiency"/>
    <w:p>
      <w:pPr>
        <w:pStyle w:val="Heading4"/>
      </w:pPr>
      <w:r>
        <w:t xml:space="preserve">3.2 Water Management and Resource Efficiency</w:t>
      </w:r>
    </w:p>
    <w:p>
      <w:pPr>
        <w:pStyle w:val="FirstParagraph"/>
      </w:pPr>
      <w:r>
        <w:t xml:space="preserve">In a region where water is a precious resource, the role of the</w:t>
      </w:r>
      <w:r>
        <w:t xml:space="preserve"> </w:t>
      </w:r>
      <w:r>
        <w:rPr>
          <w:iCs/>
          <w:i/>
        </w:rPr>
        <w:t xml:space="preserve">Architect</w:t>
      </w:r>
      <w:bookmarkStart w:id="46" w:name="FN1"/>
      <w:bookmarkEnd w:id="46"/>
      <w:r>
        <w:t xml:space="preserve">[</w:t>
      </w:r>
    </w:p>
    <w:p>
      <w:pPr>
        <w:pStyle w:val="BodyText"/>
      </w:pPr>
      <w:hyperlink w:anchor="FN1">
        <w:r>
          <w:rPr>
            <w:rStyle w:val="Hyperlink"/>
          </w:rPr>
          <w:t xml:space="preserve">1&lt;/&gt;] extends to water management. Projects in</w:t>
        </w:r>
        <w:r>
          <w:rPr>
            <w:rStyle w:val="Hyperlink"/>
          </w:rPr>
          <w:t xml:space="preserve"> </w:t>
        </w:r>
        <w:r>
          <w:rPr>
            <w:rStyle w:val="Hyperlink"/>
            <w:iCs/>
            <w:i/>
          </w:rPr>
          <w:t xml:space="preserve">Israel Tel Aviv</w:t>
        </w:r>
      </w:hyperlink>
      <w:bookmarkStart w:id="47" w:name="FN2"/>
      <w:bookmarkEnd w:id="47"/>
      <w:r>
        <w:t xml:space="preserve">[</w:t>
      </w:r>
    </w:p>
    <w:p>
      <w:pPr>
        <w:pStyle w:val="BodyText"/>
      </w:pPr>
      <w:hyperlink w:anchor="FN2">
        <w:r>
          <w:rPr>
            <w:rStyle w:val="Hyperlink"/>
          </w:rPr>
          <w:t xml:space="preserve">2&lt;/&gt;] are now required to implement greywater recycling systems and rainwater harvesting solutions. The</w:t>
        </w:r>
        <w:r>
          <w:rPr>
            <w:rStyle w:val="Hyperlink"/>
          </w:rPr>
          <w:t xml:space="preserve"> </w:t>
        </w:r>
        <w:r>
          <w:rPr>
            <w:rStyle w:val="Hyperlink"/>
            <w:iCs/>
            <w:i/>
          </w:rPr>
          <w:t xml:space="preserve">Architect</w:t>
        </w:r>
      </w:hyperlink>
      <w:bookmarkStart w:id="48" w:name="FN1"/>
      <w:bookmarkEnd w:id="48"/>
      <w:r>
        <w:t xml:space="preserve">[</w:t>
      </w:r>
    </w:p>
    <w:p>
      <w:pPr>
        <w:pStyle w:val="BodyText"/>
      </w:pPr>
      <w:r>
        <w:t xml:space="preserve">1&lt;/&gt;] must collaborate with engineers to embed these systems seamlessly into the building’s design, ensuring that sustainability does not come at the cost of aesthetic appeal.</w:t>
      </w:r>
    </w:p>
    <w:bookmarkEnd w:id="49"/>
    <w:bookmarkEnd w:id="50"/>
    <w:bookmarkStart w:id="60" w:name="social-cohesion-and-public-space"/>
    <w:p>
      <w:pPr>
        <w:pStyle w:val="Heading3"/>
      </w:pPr>
      <w:r>
        <w:t xml:space="preserve">4. Social Cohesion and Public Space</w:t>
      </w:r>
    </w:p>
    <w:p>
      <w:pPr>
        <w:pStyle w:val="FirstParagraph"/>
      </w:pPr>
      <w:r>
        <w:t xml:space="preserve">Beyond physical structures, the</w:t>
      </w:r>
      <w:r>
        <w:t xml:space="preserve"> </w:t>
      </w:r>
      <w:r>
        <w:rPr>
          <w:iCs/>
          <w:i/>
        </w:rPr>
        <w:t xml:space="preserve">Architect</w:t>
      </w:r>
      <w:bookmarkStart w:id="51" w:name="FN1"/>
      <w:bookmarkEnd w:id="51"/>
      <w:r>
        <w:t xml:space="preserve">[</w:t>
      </w:r>
    </w:p>
    <w:p>
      <w:pPr>
        <w:pStyle w:val="BodyText"/>
      </w:pPr>
      <w:hyperlink w:anchor="FN1">
        <w:r>
          <w:rPr>
            <w:rStyle w:val="Hyperlink"/>
          </w:rPr>
          <w:t xml:space="preserve">1&lt;/&gt;] in</w:t>
        </w:r>
        <w:r>
          <w:rPr>
            <w:rStyle w:val="Hyperlink"/>
          </w:rPr>
          <w:t xml:space="preserve"> </w:t>
        </w:r>
        <w:r>
          <w:rPr>
            <w:rStyle w:val="Hyperlink"/>
            <w:iCs/>
            <w:i/>
          </w:rPr>
          <w:t xml:space="preserve">Israel Tel Aviv</w:t>
        </w:r>
      </w:hyperlink>
      <w:bookmarkStart w:id="52" w:name="FN2"/>
      <w:bookmarkEnd w:id="52"/>
      <w:r>
        <w:t xml:space="preserve">[</w:t>
      </w:r>
    </w:p>
    <w:p>
      <w:pPr>
        <w:pStyle w:val="BodyText"/>
      </w:pPr>
      <w:r>
        <w:t xml:space="preserve">2&lt;/&gt;] plays a crucial role in shaping social interactions. The city is diverse, with varying socioeconomic groups living in close proximity. Public spaces are essential for fostering community and reducing social fragmentation.</w:t>
      </w:r>
    </w:p>
    <w:bookmarkStart w:id="55" w:name="redevelopment-of-marginal-zones"/>
    <w:p>
      <w:pPr>
        <w:pStyle w:val="Heading4"/>
      </w:pPr>
      <w:r>
        <w:t xml:space="preserve">4.1 Redevelopment of Marginal Zones</w:t>
      </w:r>
    </w:p>
    <w:p>
      <w:pPr>
        <w:pStyle w:val="FirstParagraph"/>
      </w:pPr>
      <w:r>
        <w:t xml:space="preserve">The redevelopment of areas such as the port and the railway station has transformed parts of</w:t>
      </w:r>
      <w:r>
        <w:t xml:space="preserve"> </w:t>
      </w:r>
      <w:r>
        <w:rPr>
          <w:iCs/>
          <w:i/>
        </w:rPr>
        <w:t xml:space="preserve">Israel Tel Aviv</w:t>
      </w:r>
      <w:bookmarkStart w:id="53" w:name="FN2"/>
      <w:bookmarkEnd w:id="53"/>
      <w:r>
        <w:t xml:space="preserve">[</w:t>
      </w:r>
    </w:p>
    <w:p>
      <w:pPr>
        <w:pStyle w:val="BodyText"/>
      </w:pPr>
      <w:hyperlink w:anchor="FN2">
        <w:r>
          <w:rPr>
            <w:rStyle w:val="Hyperlink"/>
          </w:rPr>
          <w:t xml:space="preserve">2&lt;/&gt;] into vibrant public hubs. The</w:t>
        </w:r>
        <w:r>
          <w:rPr>
            <w:rStyle w:val="Hyperlink"/>
          </w:rPr>
          <w:t xml:space="preserve"> </w:t>
        </w:r>
        <w:r>
          <w:rPr>
            <w:rStyle w:val="Hyperlink"/>
            <w:iCs/>
            <w:i/>
          </w:rPr>
          <w:t xml:space="preserve">Architect</w:t>
        </w:r>
      </w:hyperlink>
      <w:bookmarkStart w:id="54" w:name="FN1"/>
      <w:bookmarkEnd w:id="54"/>
      <w:r>
        <w:t xml:space="preserve">[</w:t>
      </w:r>
    </w:p>
    <w:p>
      <w:pPr>
        <w:pStyle w:val="BodyText"/>
      </w:pPr>
      <w:r>
        <w:t xml:space="preserve">1&lt;/&gt;] contributed to these transformations by designing flexible spaces that accommodate cultural events, markets, and leisure activities. These projects highlight the potential of architecture to revitalize neglected areas and integrate them into the city’s social fabric.</w:t>
      </w:r>
    </w:p>
    <w:bookmarkEnd w:id="55"/>
    <w:bookmarkStart w:id="59" w:name="affordable-housing-and-inclusivity"/>
    <w:p>
      <w:pPr>
        <w:pStyle w:val="Heading4"/>
      </w:pPr>
      <w:r>
        <w:t xml:space="preserve">4.2 Affordable Housing and Inclusivity</w:t>
      </w:r>
    </w:p>
    <w:p>
      <w:pPr>
        <w:pStyle w:val="FirstParagraph"/>
      </w:pPr>
      <w:r>
        <w:t xml:space="preserve">Housing affordability is a critical issue in</w:t>
      </w:r>
      <w:r>
        <w:t xml:space="preserve"> </w:t>
      </w:r>
      <w:r>
        <w:rPr>
          <w:iCs/>
          <w:i/>
        </w:rPr>
        <w:t xml:space="preserve">Israel Tel Aviv</w:t>
      </w:r>
      <w:bookmarkStart w:id="56" w:name="FN2"/>
      <w:bookmarkEnd w:id="56"/>
      <w:r>
        <w:t xml:space="preserve">[</w:t>
      </w:r>
    </w:p>
    <w:p>
      <w:pPr>
        <w:pStyle w:val="BodyText"/>
      </w:pPr>
      <w:hyperlink w:anchor="FN2">
        <w:r>
          <w:rPr>
            <w:rStyle w:val="Hyperlink"/>
          </w:rPr>
          <w:t xml:space="preserve">2&lt;/&gt;. The</w:t>
        </w:r>
        <w:r>
          <w:rPr>
            <w:rStyle w:val="Hyperlink"/>
          </w:rPr>
          <w:t xml:space="preserve"> </w:t>
        </w:r>
        <w:r>
          <w:rPr>
            <w:rStyle w:val="Hyperlink"/>
            <w:iCs/>
            <w:i/>
          </w:rPr>
          <w:t xml:space="preserve">Architect</w:t>
        </w:r>
      </w:hyperlink>
      <w:bookmarkStart w:id="57" w:name="FN1"/>
      <w:bookmarkEnd w:id="57"/>
      <w:r>
        <w:t xml:space="preserve">[</w:t>
      </w:r>
    </w:p>
    <w:p>
      <w:pPr>
        <w:pStyle w:val="BodyText"/>
      </w:pPr>
      <w:hyperlink w:anchor="FN1">
        <w:r>
          <w:rPr>
            <w:rStyle w:val="Hyperlink"/>
          </w:rPr>
          <w:t xml:space="preserve">1&lt;/&gt;] is increasingly involved in designing affordable housing units that maintain high standards of quality and design. By optimizing space and utilizing innovative construction methods, architects can provide dignified living environments for lower-income residents. This approach promotes inclusivity and ensures that</w:t>
        </w:r>
        <w:r>
          <w:rPr>
            <w:rStyle w:val="Hyperlink"/>
          </w:rPr>
          <w:t xml:space="preserve"> </w:t>
        </w:r>
        <w:r>
          <w:rPr>
            <w:rStyle w:val="Hyperlink"/>
            <w:iCs/>
            <w:i/>
          </w:rPr>
          <w:t xml:space="preserve">Israel Tel Aviv</w:t>
        </w:r>
      </w:hyperlink>
      <w:bookmarkStart w:id="58" w:name="FN2"/>
      <w:bookmarkEnd w:id="58"/>
      <w:r>
        <w:t xml:space="preserve">[</w:t>
      </w:r>
    </w:p>
    <w:p>
      <w:pPr>
        <w:pStyle w:val="BodyText"/>
      </w:pPr>
      <w:r>
        <w:t xml:space="preserve">2&lt;/&gt;] remains a city for all its citizens.</w:t>
      </w:r>
    </w:p>
    <w:bookmarkEnd w:id="59"/>
    <w:bookmarkEnd w:id="60"/>
    <w:bookmarkStart w:id="66" w:name="conclusion"/>
    <w:p>
      <w:pPr>
        <w:pStyle w:val="Heading3"/>
      </w:pPr>
      <w:r>
        <w:t xml:space="preserve">5. Conclusion</w:t>
      </w:r>
    </w:p>
    <w:p>
      <w:pPr>
        <w:pStyle w:val="FirstParagraph"/>
      </w:pPr>
      <w:r>
        <w:t xml:space="preserve">The role of the</w:t>
      </w:r>
      <w:r>
        <w:t xml:space="preserve"> </w:t>
      </w:r>
      <w:r>
        <w:rPr>
          <w:iCs/>
          <w:i/>
        </w:rPr>
        <w:t xml:space="preserve">Architect</w:t>
      </w:r>
      <w:bookmarkStart w:id="61" w:name="FN1"/>
      <w:bookmarkEnd w:id="61"/>
      <w:r>
        <w:t xml:space="preserve">[</w:t>
      </w:r>
    </w:p>
    <w:p>
      <w:pPr>
        <w:pStyle w:val="BodyText"/>
      </w:pPr>
      <w:hyperlink w:anchor="FN1">
        <w:r>
          <w:rPr>
            <w:rStyle w:val="Hyperlink"/>
          </w:rPr>
          <w:t xml:space="preserve">1&lt;/&gt;] in</w:t>
        </w:r>
        <w:r>
          <w:rPr>
            <w:rStyle w:val="Hyperlink"/>
          </w:rPr>
          <w:t xml:space="preserve"> </w:t>
        </w:r>
        <w:r>
          <w:rPr>
            <w:rStyle w:val="Hyperlink"/>
            <w:iCs/>
            <w:i/>
          </w:rPr>
          <w:t xml:space="preserve">Israel Tel Aviv</w:t>
        </w:r>
      </w:hyperlink>
      <w:bookmarkStart w:id="62" w:name="FN2"/>
      <w:bookmarkEnd w:id="62"/>
      <w:r>
        <w:t xml:space="preserve">[</w:t>
      </w:r>
    </w:p>
    <w:p>
      <w:pPr>
        <w:pStyle w:val="BodyText"/>
      </w:pPr>
      <w:hyperlink w:anchor="FN2">
        <w:r>
          <w:rPr>
            <w:rStyle w:val="Hyperlink"/>
          </w:rPr>
          <w:t xml:space="preserve">2&lt;/&gt;] is more complex and impactful than ever before. Operating at the intersection of heritage and modernity, density and sustainability, the architect must navigate a myriad of challenges to create resilient and inclusive urban environments. As</w:t>
        </w:r>
        <w:r>
          <w:rPr>
            <w:rStyle w:val="Hyperlink"/>
          </w:rPr>
          <w:t xml:space="preserve"> </w:t>
        </w:r>
        <w:r>
          <w:rPr>
            <w:rStyle w:val="Hyperlink"/>
            <w:iCs/>
            <w:i/>
          </w:rPr>
          <w:t xml:space="preserve">Israel Tel Aviv</w:t>
        </w:r>
      </w:hyperlink>
      <w:bookmarkStart w:id="63" w:name="FN2"/>
      <w:bookmarkEnd w:id="63"/>
      <w:r>
        <w:t xml:space="preserve">[</w:t>
      </w:r>
    </w:p>
    <w:p>
      <w:pPr>
        <w:pStyle w:val="BodyText"/>
      </w:pPr>
      <w:hyperlink w:anchor="FN2">
        <w:r>
          <w:rPr>
            <w:rStyle w:val="Hyperlink"/>
          </w:rPr>
          <w:t xml:space="preserve">2&lt;/&gt;] continues to evolve, the profession must remain committed to innovative solutions that honor its past while embracing its future. The</w:t>
        </w:r>
        <w:r>
          <w:rPr>
            <w:rStyle w:val="Hyperlink"/>
          </w:rPr>
          <w:t xml:space="preserve"> </w:t>
        </w:r>
        <w:r>
          <w:rPr>
            <w:rStyle w:val="Hyperlink"/>
            <w:iCs/>
            <w:i/>
          </w:rPr>
          <w:t xml:space="preserve">Architect</w:t>
        </w:r>
      </w:hyperlink>
      <w:bookmarkStart w:id="64" w:name="FN1"/>
      <w:bookmarkEnd w:id="64"/>
      <w:r>
        <w:t xml:space="preserve">[</w:t>
      </w:r>
    </w:p>
    <w:p>
      <w:pPr>
        <w:pStyle w:val="BodyText"/>
      </w:pPr>
      <w:hyperlink w:anchor="FN1">
        <w:r>
          <w:rPr>
            <w:rStyle w:val="Hyperlink"/>
          </w:rPr>
          <w:t xml:space="preserve">1&lt;/&gt;] is not just a builder of structures but a shaper of society, responsible for defining the character and sustainability of</w:t>
        </w:r>
        <w:r>
          <w:rPr>
            <w:rStyle w:val="Hyperlink"/>
          </w:rPr>
          <w:t xml:space="preserve"> </w:t>
        </w:r>
        <w:r>
          <w:rPr>
            <w:rStyle w:val="Hyperlink"/>
            <w:iCs/>
            <w:i/>
          </w:rPr>
          <w:t xml:space="preserve">Israel Tel Aviv</w:t>
        </w:r>
      </w:hyperlink>
      <w:bookmarkStart w:id="65" w:name="FN2"/>
      <w:bookmarkEnd w:id="65"/>
      <w:r>
        <w:t xml:space="preserve">[</w:t>
      </w:r>
    </w:p>
    <w:p>
      <w:pPr>
        <w:pStyle w:val="BodyText"/>
      </w:pPr>
      <w:r>
        <w:t xml:space="preserve">2&lt;/&gt;] in the years to come.</w:t>
      </w:r>
    </w:p>
    <w:bookmarkEnd w:id="66"/>
    <w:bookmarkStart w:id="69" w:name="references"/>
    <w:p>
      <w:pPr>
        <w:pStyle w:val="Heading3"/>
      </w:pPr>
      <w:r>
        <w:t xml:space="preserve">References</w:t>
      </w:r>
    </w:p>
    <w:p>
      <w:pPr>
        <w:numPr>
          <w:ilvl w:val="0"/>
          <w:numId w:val="1001"/>
        </w:numPr>
        <w:pStyle w:val="Compact"/>
      </w:pPr>
      <w:r>
        <w:t xml:space="preserve">Eran, A. (2019). *The Bauhaus Experience: Tel Aviv and Beyond*. Jerusalem: Keter Publishing House.</w:t>
      </w:r>
    </w:p>
    <w:p>
      <w:pPr>
        <w:numPr>
          <w:ilvl w:val="0"/>
          <w:numId w:val="1001"/>
        </w:numPr>
        <w:pStyle w:val="Compact"/>
      </w:pPr>
      <w:r>
        <w:t xml:space="preserve">Gavish, D., &amp; Knafo, M. (2021). "Urban Density and Sustainability in Mediterranean Cities." *Journal of Israeli Architecture*, 15(3), 45-67.</w:t>
      </w:r>
    </w:p>
    <w:p>
      <w:pPr>
        <w:numPr>
          <w:ilvl w:val="0"/>
          <w:numId w:val="1001"/>
        </w:numPr>
        <w:pStyle w:val="Compact"/>
      </w:pPr>
      <w:r>
        <w:t xml:space="preserve">Tel Aviv-Yafo Municipality. (2023). *Master Plan 99: Sustainable Urban Development Guidelines*. Tel Aviv: City Planning Department.</w:t>
      </w:r>
    </w:p>
    <w:p>
      <w:pPr>
        <w:numPr>
          <w:ilvl w:val="0"/>
          <w:numId w:val="1001"/>
        </w:numPr>
        <w:pStyle w:val="Compact"/>
      </w:pPr>
      <w:r>
        <w:t xml:space="preserve">Zimmerman, Y. (2018). "Heritage Conservation and Modernization in Tel Aviv." *International Journal of Architectural Heritage*, 12(4), 567-580.</w:t>
      </w:r>
    </w:p>
    <w:p>
      <w:r>
        <w:pict>
          <v:rect style="width:0;height:1.5pt" o:hralign="center" o:hrstd="t" o:hr="t"/>
        </w:pict>
      </w:r>
    </w:p>
    <w:p>
      <w:pPr>
        <w:pStyle w:val="FirstParagraph"/>
      </w:pPr>
      <w:bookmarkStart w:id="67" w:name="FN1"/>
      <w:r>
        <w:rPr>
          <w:vertAlign w:val="superscript"/>
        </w:rPr>
        <w:t xml:space="preserve">1</w:t>
      </w:r>
      <w:bookmarkEnd w:id="67"/>
      <w:r>
        <w:t xml:space="preserve"> </w:t>
      </w:r>
      <w:r>
        <w:t xml:space="preserve">In this context, "Architect" refers to the professional responsible for the design of buildings and urban spaces, emphasizing their expanded role in social and environmental systems.</w:t>
      </w:r>
      <w:r>
        <w:br/>
      </w:r>
      <w:bookmarkStart w:id="68" w:name="FN2"/>
      <w:r>
        <w:rPr>
          <w:vertAlign w:val="superscript"/>
        </w:rPr>
        <w:t xml:space="preserve">2</w:t>
      </w:r>
      <w:bookmarkEnd w:id="68"/>
      <w:r>
        <w:t xml:space="preserve"> </w:t>
      </w:r>
      <w:r>
        <w:t xml:space="preserve">"Israel Tel Aviv" is used throughout to denote the specific geographic, cultural, and political entity being analyzed.</w:t>
      </w:r>
    </w:p>
    <w:bookmarkEnd w:id="69"/>
    <w:bookmarkEnd w:id="7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in Israel Tel Aviv: Navigating Identity, Density, and Sustainability</dc:title>
  <dc:creator/>
  <dc:language>en</dc:language>
  <cp:keywords/>
  <dcterms:created xsi:type="dcterms:W3CDTF">2026-07-29T08:57:05Z</dcterms:created>
  <dcterms:modified xsi:type="dcterms:W3CDTF">2026-07-29T08:57:05Z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