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Climate</w:t>
      </w:r>
      <w:r>
        <w:t xml:space="preserve"> </w:t>
      </w:r>
      <w:r>
        <w:t xml:space="preserve">Resilience,</w:t>
      </w:r>
      <w:r>
        <w:t xml:space="preserve"> </w:t>
      </w:r>
      <w:r>
        <w:t xml:space="preserve">Cultural</w:t>
      </w:r>
      <w:r>
        <w:t xml:space="preserve"> </w:t>
      </w:r>
      <w:r>
        <w:t xml:space="preserve">Integration,</w:t>
      </w:r>
      <w:r>
        <w:t xml:space="preserve"> </w:t>
      </w:r>
      <w:r>
        <w:t xml:space="preserve">and</w:t>
      </w:r>
      <w:r>
        <w:t xml:space="preserve"> </w:t>
      </w:r>
      <w:r>
        <w:t xml:space="preserve">Urban</w:t>
      </w:r>
      <w:r>
        <w:t xml:space="preserve"> </w:t>
      </w:r>
      <w:r>
        <w:t xml:space="preserve">Density</w:t>
      </w:r>
    </w:p>
    <w:bookmarkStart w:id="28" w:name="X250c97bbca1f9a19b9eb357e4ee7af28c7f4249"/>
    <w:p>
      <w:pPr>
        <w:pStyle w:val="Heading1"/>
      </w:pPr>
      <w:r>
        <w:t xml:space="preserve">The Evolving Role of the Architect in New Zealand Auckland</w:t>
      </w:r>
    </w:p>
    <w:p>
      <w:pPr>
        <w:pStyle w:val="FirstParagraph"/>
      </w:pPr>
      <w:r>
        <w:rPr>
          <w:bCs/>
          <w:b/>
        </w:rPr>
        <w:t xml:space="preserve">Presentation for the International Conference on Sustainable Urban Design 2024</w:t>
      </w:r>
      <w:r>
        <w:br/>
      </w:r>
      <w:r>
        <w:t xml:space="preserve">Prepared for stakeholders in New Zealand Auckland's planning and construction sectors.</w:t>
      </w:r>
    </w:p>
    <w:bookmarkStart w:id="20" w:name="abstract"/>
    <w:p>
      <w:pPr>
        <w:pStyle w:val="Heading3"/>
      </w:pPr>
      <w:r>
        <w:t xml:space="preserve">Abstract</w:t>
      </w:r>
    </w:p>
    <w:p>
      <w:pPr>
        <w:pStyle w:val="FirstParagraph"/>
      </w:pPr>
      <w:r>
        <w:t xml:space="preserve">This paper explores the critical transformation of the role of the Architect within the dynamic urban landscape of New Zealand Auckland. As one of New Zealand’s largest cities, Auckland faces unique challenges related to seismic resilience, climate change mitigation, and rapid demographic growth. The document argues that contemporary practice in this region requires a paradigm shift from traditional aesthetic-focused design to a holistic stewardship model. This new role integrates Indigenous Māori perspectives (Te Ao Māori), strict environmental sustainability standards mandated by local Auckland Council policies, and innovative structural engineering solutions for high-density living.</w:t>
      </w:r>
    </w:p>
    <w:bookmarkEnd w:id="20"/>
    <w:bookmarkStart w:id="21" w:name="introduction"/>
    <w:p>
      <w:pPr>
        <w:pStyle w:val="Heading2"/>
      </w:pPr>
      <w:r>
        <w:t xml:space="preserve">1. Introduction</w:t>
      </w:r>
    </w:p>
    <w:p>
      <w:pPr>
        <w:pStyle w:val="FirstParagraph"/>
      </w:pPr>
      <w:r>
        <w:t xml:space="preserve">The profession of the Architect has historically been defined by the creation of aesthetically pleasing structures that serve functional human needs. However, in recent decades, particularly within complex urban environments like New Zealand Auckland, this definition has expanded significantly. The modern Architect is no longer merely a designer of buildings but a crucial mediator between environmental imperatives, cultural heritage, and community well-being. This conference paper examines how the specific geographical and socio-political context of New Zealand Auckland dictates a unique set of responsibilities for practitioners in the field.</w:t>
      </w:r>
    </w:p>
    <w:p>
      <w:pPr>
        <w:pStyle w:val="BodyText"/>
      </w:pPr>
      <w:r>
        <w:t xml:space="preserve">Auckland, often referred to as the "City of Sails," is geographically distinct due to its volcanic terrain, coastal location, and status as a seismic zone. These factors impose rigorous demands on architectural practice. Furthermore, New Zealand’s commitment to the Treaty of Waitangi (Te Tiriti o Waitangi) necessitates that the Architect engage deeply with Māori protocols and values when designing in Auckland. This paper posits that successful architectural outcomes in this region are contingent upon an interdisciplinary approach that prioritizes resilience, cultural inclusion, and sustainable urbanism.</w:t>
      </w:r>
    </w:p>
    <w:bookmarkEnd w:id="21"/>
    <w:bookmarkStart w:id="22" w:name="X4b1bb9fecb67a30889b49a550e7323dfbfbbf17"/>
    <w:p>
      <w:pPr>
        <w:pStyle w:val="Heading2"/>
      </w:pPr>
      <w:r>
        <w:t xml:space="preserve">2. Seismic Resilience and Structural Innovation</w:t>
      </w:r>
    </w:p>
    <w:p>
      <w:pPr>
        <w:pStyle w:val="FirstParagraph"/>
      </w:pPr>
      <w:r>
        <w:t xml:space="preserve">In New Zealand Auckland, the primary concern for any structural intervention is seismic activity. The tectonic setting of North Island places significant stress on infrastructure, making resilience a non-negotiable aspect of architectural practice. For the Architect in this region, understanding engineering constraints is as vital as aesthetic composition.</w:t>
      </w:r>
    </w:p>
    <w:p>
      <w:pPr>
        <w:pStyle w:val="BodyText"/>
      </w:pPr>
      <w:r>
        <w:t xml:space="preserve">Traditional design methods often prioritize form over function, but in Auckland, the structural logic must drive the architectural expression. The role of the Architect involves collaborating closely with geotechnical engineers to assess soil stability, particularly given Auckland’s varied topography ranging from soft volcanic soils to harder basalt formations. This collaboration ensures that buildings are not only visually striking but also capable of withstanding significant seismic events.</w:t>
      </w:r>
    </w:p>
    <w:p>
      <w:pPr>
        <w:pStyle w:val="BodyText"/>
      </w:pPr>
      <w:r>
        <w:t xml:space="preserve">Moreover, the concept of "design for disaster" is becoming central to architectural education and practice in New Zealand Auckland. Architects are increasingly expected to design buildings that can serve as community hubs or emergency shelters post-disaster. This requires a shift in thinking from static objects to dynamic systems that contribute to urban safety nets.</w:t>
      </w:r>
    </w:p>
    <w:bookmarkEnd w:id="22"/>
    <w:bookmarkStart w:id="23" w:name="X41d03e668c28e0c68a98e663582c9fea024cbc3"/>
    <w:p>
      <w:pPr>
        <w:pStyle w:val="Heading2"/>
      </w:pPr>
      <w:r>
        <w:t xml:space="preserve">3. Cultural Integration and Te Tiriti o Waitangi</w:t>
      </w:r>
    </w:p>
    <w:p>
      <w:pPr>
        <w:pStyle w:val="FirstParagraph"/>
      </w:pPr>
      <w:r>
        <w:t xml:space="preserve">The role of the Architect in New Zealand Auckland is deeply intertwined with the principles of the Treaty of Waitangi. As a bicultural nation, New Zealand requires public and private developments to acknowledge and incorporate Māori cultural values. For an Architect working in Auckland, this means moving beyond tokenistic gestures toward genuine partnership with iwi (tribes) and hapū (sub-tribes).</w:t>
      </w:r>
    </w:p>
    <w:p>
      <w:pPr>
        <w:pStyle w:val="BodyText"/>
      </w:pPr>
      <w:r>
        <w:t xml:space="preserve">This integration involves several layers of practice. Firstly, it requires the incorporation of tikanga (customs) into the spatial planning process. This might involve orienting buildings to respect ancestral landscapes or creating spaces that facilitate traditional gathering practices. Secondly, it demands a narrative approach to design, where the history and stories of the land are embedded in the architectural fabric.</w:t>
      </w:r>
    </w:p>
    <w:p>
      <w:pPr>
        <w:pStyle w:val="BodyText"/>
      </w:pPr>
      <w:r>
        <w:t xml:space="preserve">In Auckland, where urban density is rapidly encroaching on historically significant sites, the Architect acts as a custodian of memory. By integrating Māori art forms, narratives, and spatial concepts into modern architecture, practitioners help preserve cultural identity amidst rapid urbanization. This cultural competence is no longer optional for an Architect in New Zealand Auckland; it is a professional imperative that defines ethical practice.</w:t>
      </w:r>
    </w:p>
    <w:bookmarkEnd w:id="23"/>
    <w:bookmarkStart w:id="24" w:name="sustainability-and-climate-adaptation"/>
    <w:p>
      <w:pPr>
        <w:pStyle w:val="Heading2"/>
      </w:pPr>
      <w:r>
        <w:t xml:space="preserve">4. Sustainability and Climate Adaptation</w:t>
      </w:r>
    </w:p>
    <w:p>
      <w:pPr>
        <w:pStyle w:val="FirstParagraph"/>
      </w:pPr>
      <w:r>
        <w:t xml:space="preserve">New Zealand Auckland is on the front lines of climate change, facing threats such as sea-level rise, increased storm intensity, and urban heat island effects. The Architect’s role has consequently shifted toward becoming a leader in environmental sustainability. Local council regulations in New Zealand Auckland are becoming increasingly stringent regarding carbon emissions and energy efficiency.</w:t>
      </w:r>
    </w:p>
    <w:p>
      <w:pPr>
        <w:pStyle w:val="BodyText"/>
      </w:pPr>
      <w:r>
        <w:t xml:space="preserve">The contemporary Architect must prioritize passive design strategies that reduce reliance on mechanical heating and cooling. In the context of Auckland’s temperate climate, this involves optimizing orientation, natural ventilation, and daylighting to enhance occupant comfort while minimizing energy consumption. Furthermore, the use of local materials is encouraged to reduce embodied carbon, supporting both environmental goals and the local economy.</w:t>
      </w:r>
    </w:p>
    <w:p>
      <w:pPr>
        <w:pStyle w:val="BodyText"/>
      </w:pPr>
      <w:r>
        <w:t xml:space="preserve">Water management is another critical area. Given Auckland’s reliance on specific aquifers and its susceptibility to flooding in certain zones, Architects are tasked with designing integrated water-sensitive urban designs (WSUD). This includes green roofs, permeable pavements, and rainwater harvesting systems that mitigate flood risks and enhance biodiversity. The Architect thus becomes an ecological designer, weaving natural systems into the built environment.</w:t>
      </w:r>
    </w:p>
    <w:bookmarkEnd w:id="24"/>
    <w:bookmarkStart w:id="25" w:name="Xb944dc7425287f1e00a11bc00faeea44b652d85"/>
    <w:p>
      <w:pPr>
        <w:pStyle w:val="Heading2"/>
      </w:pPr>
      <w:r>
        <w:t xml:space="preserve">5. Addressing Urban Density and Housing Affordability</w:t>
      </w:r>
    </w:p>
    <w:p>
      <w:pPr>
        <w:pStyle w:val="FirstParagraph"/>
      </w:pPr>
      <w:r>
        <w:t xml:space="preserve">Auckland is experiencing a significant population boom, leading to intense pressure on housing affordability and infrastructure capacity. The "Auckland Plan" seeks to manage this growth by promoting intensification around transport nodes while protecting environmental edges. The Architect plays a pivotal role in realizing this vision.</w:t>
      </w:r>
    </w:p>
    <w:p>
      <w:pPr>
        <w:pStyle w:val="BodyText"/>
      </w:pPr>
      <w:r>
        <w:t xml:space="preserve">This involves reimagining residential typologies. The traditional single-family detached home is being supplemented, and in some cases replaced, by medium-density housing such as townhouses, terraces, and low-rise apartments. For the Architect in New Zealand Auckland, designing these typologies requires a sensitive approach to privacy, sunlight access for neighbors (the "right to light"), and community interaction.</w:t>
      </w:r>
    </w:p>
    <w:p>
      <w:pPr>
        <w:pStyle w:val="BodyText"/>
      </w:pPr>
      <w:r>
        <w:t xml:space="preserve">The challenge lies in creating high-quality urban environments that do not feel cramped or sterile. This requires innovative spatial planning where small footprints are maximized through efficient layouts and multi-functional spaces. The Architect must also advocate for design standards that ensure affordability without compromising on safety or comfort, working within regulatory frameworks to find creative solutions for density.</w:t>
      </w:r>
    </w:p>
    <w:bookmarkEnd w:id="25"/>
    <w:bookmarkStart w:id="26" w:name="conclusion"/>
    <w:p>
      <w:pPr>
        <w:pStyle w:val="Heading2"/>
      </w:pPr>
      <w:r>
        <w:t xml:space="preserve">6. Conclusion</w:t>
      </w:r>
    </w:p>
    <w:p>
      <w:pPr>
        <w:pStyle w:val="FirstParagraph"/>
      </w:pPr>
      <w:r>
        <w:t xml:space="preserve">In conclusion, the role of the Architect in New Zealand Auckland is undergoing a profound transformation. It is no longer sufficient to be solely a creator of forms; one must be an engineer of resilience, a partner in cultural preservation, and a steward of environmental health. The unique challenges posed by seismic risks, climate change pressures, and the imperative for cultural inclusion define this specialized practice.</w:t>
      </w:r>
    </w:p>
    <w:p>
      <w:pPr>
        <w:pStyle w:val="BodyText"/>
      </w:pPr>
      <w:r>
        <w:t xml:space="preserve">As New Zealand Auckland continues to evolve into one of the world’s most liveable cities through thoughtful intensification, the Architect remains central to this process. By embracing an interdisciplinary and culturally responsive approach, practitioners can ensure that Auckland’s built environment is not only safe and sustainable but also inclusive and meaningful. Future research should focus on quantifying the impact of these integrated practices on long-term urban resilience and community well-being in the region.</w:t>
      </w:r>
    </w:p>
    <w:bookmarkEnd w:id="26"/>
    <w:bookmarkStart w:id="27" w:name="references"/>
    <w:p>
      <w:pPr>
        <w:pStyle w:val="Heading2"/>
      </w:pPr>
      <w:r>
        <w:t xml:space="preserve">References</w:t>
      </w:r>
    </w:p>
    <w:p>
      <w:pPr>
        <w:numPr>
          <w:ilvl w:val="0"/>
          <w:numId w:val="1001"/>
        </w:numPr>
        <w:pStyle w:val="Compact"/>
      </w:pPr>
      <w:r>
        <w:t xml:space="preserve">Auckland Council. (2018). The Auckland Plan 2050: Our City, Our Future.</w:t>
      </w:r>
    </w:p>
    <w:p>
      <w:pPr>
        <w:numPr>
          <w:ilvl w:val="0"/>
          <w:numId w:val="1001"/>
        </w:numPr>
        <w:pStyle w:val="Compact"/>
      </w:pPr>
      <w:r>
        <w:t xml:space="preserve">New Zealand Institute of Architects. (2019). Sustainability Guidelines for the New Zealand Context.</w:t>
      </w:r>
    </w:p>
    <w:p>
      <w:pPr>
        <w:numPr>
          <w:ilvl w:val="0"/>
          <w:numId w:val="1001"/>
        </w:numPr>
        <w:pStyle w:val="Compact"/>
      </w:pPr>
      <w:r>
        <w:t xml:space="preserve">Ministry for Culture and Heritage. (2023). Te Tiriti o Waitangi in Architecture: Best Practice Guidelines.</w:t>
      </w:r>
    </w:p>
    <w:p>
      <w:pPr>
        <w:numPr>
          <w:ilvl w:val="0"/>
          <w:numId w:val="1001"/>
        </w:numPr>
        <w:pStyle w:val="Compact"/>
      </w:pPr>
      <w:r>
        <w:t xml:space="preserve">EQC Earthquake Commission. (2016). Natural Hazard Risk Assessment for Auckland Urban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New Zealand Auckland: Navigating Climate Resilience, Cultural Integration, and Urban Density</dc:title>
  <dc:creator/>
  <dc:language>en</dc:language>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