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Singapore:</w:t>
      </w:r>
      <w:r>
        <w:t xml:space="preserve"> </w:t>
      </w:r>
      <w:r>
        <w:t xml:space="preserve">Navigating</w:t>
      </w:r>
      <w:r>
        <w:t xml:space="preserve"> </w:t>
      </w:r>
      <w:r>
        <w:t xml:space="preserve">Sustainability</w:t>
      </w:r>
      <w:r>
        <w:t xml:space="preserve"> </w:t>
      </w:r>
      <w:r>
        <w:t xml:space="preserve">and</w:t>
      </w:r>
      <w:r>
        <w:t xml:space="preserve"> </w:t>
      </w:r>
      <w:r>
        <w:t xml:space="preserve">Urban</w:t>
      </w:r>
      <w:r>
        <w:t xml:space="preserve"> </w:t>
      </w:r>
      <w:r>
        <w:t xml:space="preserve">Density</w:t>
      </w:r>
    </w:p>
    <w:bookmarkStart w:id="28" w:name="X9ce6c9f1035ecc07b84afeb506ec58a939e46f7"/>
    <w:p>
      <w:pPr>
        <w:pStyle w:val="Heading1"/>
      </w:pPr>
      <w:r>
        <w:t xml:space="preserve">The Evolving Role of the Architect in Singapore: Navigating Sustainability and Urban Density</w:t>
      </w:r>
    </w:p>
    <w:p>
      <w:pPr>
        <w:pStyle w:val="FirstParagraph"/>
      </w:pPr>
      <w:r>
        <w:rPr>
          <w:bCs/>
          <w:b/>
        </w:rPr>
        <w:t xml:space="preserve">Jean-Luc Dubois, Ph.D.</w:t>
      </w:r>
      <w:r>
        <w:br/>
      </w:r>
      <w:r>
        <w:t xml:space="preserve">Department of Urban Design and Architecture</w:t>
      </w:r>
      <w:r>
        <w:br/>
      </w:r>
      <w:r>
        <w:t xml:space="preserve">National University of Singapore</w:t>
      </w:r>
      <w:r>
        <w:br/>
      </w:r>
      <w:r>
        <w:t xml:space="preserve">Singapore, 048982</w:t>
      </w:r>
    </w:p>
    <w:bookmarkStart w:id="20" w:name="abstract"/>
    <w:p>
      <w:pPr>
        <w:pStyle w:val="Heading3"/>
      </w:pPr>
      <w:r>
        <w:t xml:space="preserve">Abstract</w:t>
      </w:r>
    </w:p>
    <w:p>
      <w:pPr>
        <w:pStyle w:val="FirstParagraph"/>
      </w:pPr>
      <w:r>
        <w:t xml:space="preserve">The city-state of Singapore presents a unique paradigm for urban development, characterized by extreme density, limited land resources, and a tropical climate. This paper examines the critical and expanding role of the</w:t>
      </w:r>
      <w:r>
        <w:t xml:space="preserve"> </w:t>
      </w:r>
      <w:r>
        <w:rPr>
          <w:bCs/>
          <w:b/>
        </w:rPr>
        <w:t xml:space="preserve">Architect</w:t>
      </w:r>
      <w:r>
        <w:t xml:space="preserve"> </w:t>
      </w:r>
      <w:r>
        <w:t xml:space="preserve">within this specific context. As Singapore strives toward its "City in Nature" vision and net-zero carbon goals by 2030/2050, the traditional definition of architectural practice is undergoing a profound transformation. This study analyzes how modern</w:t>
      </w:r>
      <w:r>
        <w:t xml:space="preserve"> </w:t>
      </w:r>
      <w:r>
        <w:rPr>
          <w:bCs/>
          <w:b/>
        </w:rPr>
        <w:t xml:space="preserve">Singapore</w:t>
      </w:r>
      <w:r>
        <w:t xml:space="preserve">-based firms are integrating biophilic design, computational geometry, and sustainable engineering to redefine public spaces. Furthermore, it discusses the regulatory frameworks imposed by the Building and Construction Authority (BCA) that shape the output of every</w:t>
      </w:r>
      <w:r>
        <w:t xml:space="preserve"> </w:t>
      </w:r>
      <w:r>
        <w:rPr>
          <w:bCs/>
          <w:b/>
        </w:rPr>
        <w:t xml:space="preserve">Architect</w:t>
      </w:r>
      <w:r>
        <w:t xml:space="preserve"> </w:t>
      </w:r>
      <w:r>
        <w:t xml:space="preserve">working in this jurisdiction. The findings suggest that in</w:t>
      </w:r>
      <w:r>
        <w:t xml:space="preserve"> </w:t>
      </w:r>
      <w:r>
        <w:rPr>
          <w:bCs/>
          <w:b/>
        </w:rPr>
        <w:t xml:space="preserve">Singapore Singapore</w:t>
      </w:r>
      <w:r>
        <w:t xml:space="preserve">, the architect is no longer merely a designer of aesthetics but a crucial mediator between environmental stewardship, technological innovation, and social cohesion.</w:t>
      </w:r>
    </w:p>
    <w:p>
      <w:pPr>
        <w:pStyle w:val="BodyText"/>
      </w:pPr>
      <w:r>
        <w:rPr>
          <w:iCs/>
          <w:i/>
        </w:rPr>
        <w:t xml:space="preserve">Keywords:</w:t>
      </w:r>
      <w:r>
        <w:t xml:space="preserve"> </w:t>
      </w:r>
      <w:r>
        <w:t xml:space="preserve">Architecture, Sustainability, Singapore Urban Planning, Biophilic Design, Green Building Index.</w:t>
      </w:r>
    </w:p>
    <w:bookmarkEnd w:id="20"/>
    <w:bookmarkStart w:id="21" w:name="i.-introduction"/>
    <w:p>
      <w:pPr>
        <w:pStyle w:val="Heading2"/>
      </w:pPr>
      <w:r>
        <w:t xml:space="preserve">I. Introduction</w:t>
      </w:r>
    </w:p>
    <w:p>
      <w:pPr>
        <w:pStyle w:val="FirstParagraph"/>
      </w:pPr>
      <w:r>
        <w:t xml:space="preserve">The narrative of modern urbanism is often written in concrete and steel. However, in the context of</w:t>
      </w:r>
      <w:r>
        <w:t xml:space="preserve"> </w:t>
      </w:r>
      <w:r>
        <w:rPr>
          <w:bCs/>
          <w:b/>
        </w:rPr>
        <w:t xml:space="preserve">Singapore Singapore</w:t>
      </w:r>
      <w:r>
        <w:t xml:space="preserve">, this narrative has shifted dramatically toward glass, greenery, and intelligent systems. As one of the most densely populated cities on Earth,</w:t>
      </w:r>
      <w:r>
        <w:t xml:space="preserve"> </w:t>
      </w:r>
      <w:r>
        <w:rPr>
          <w:bCs/>
          <w:b/>
        </w:rPr>
        <w:t xml:space="preserve">Singapore</w:t>
      </w:r>
      <w:r>
        <w:t xml:space="preserve"> </w:t>
      </w:r>
      <w:r>
        <w:t xml:space="preserve">faces the paradoxical challenge of accommodating a growing population while enhancing environmental quality and livability. In this high-stakes environment, the role of the</w:t>
      </w:r>
      <w:r>
        <w:t xml:space="preserve"> </w:t>
      </w:r>
      <w:r>
        <w:rPr>
          <w:bCs/>
          <w:b/>
        </w:rPr>
        <w:t xml:space="preserve">Architect</w:t>
      </w:r>
      <w:r>
        <w:t xml:space="preserve"> </w:t>
      </w:r>
      <w:r>
        <w:t xml:space="preserve">has transcended conventional boundaries.</w:t>
      </w:r>
    </w:p>
    <w:p>
      <w:pPr>
        <w:pStyle w:val="BodyText"/>
      </w:pPr>
      <w:r>
        <w:t xml:space="preserve">Historically, architects in tropical regions focused primarily on passive cooling and ventilation. Today, however, an</w:t>
      </w:r>
      <w:r>
        <w:t xml:space="preserve"> </w:t>
      </w:r>
      <w:r>
        <w:rPr>
          <w:bCs/>
          <w:b/>
        </w:rPr>
        <w:t xml:space="preserve">Architect</w:t>
      </w:r>
      <w:r>
        <w:t xml:space="preserve">’s responsibilities in</w:t>
      </w:r>
      <w:r>
        <w:t xml:space="preserve"> </w:t>
      </w:r>
      <w:r>
        <w:rPr>
          <w:bCs/>
          <w:b/>
        </w:rPr>
        <w:t xml:space="preserve">Singapore</w:t>
      </w:r>
      <w:r>
        <w:t xml:space="preserve"> </w:t>
      </w:r>
      <w:r>
        <w:t xml:space="preserve">encompass a multidisciplinary array of duties including carbon lifecycle analysis, community engagement strategies, and the integration of smart city technologies. This paper argues that the contemporary</w:t>
      </w:r>
      <w:r>
        <w:t xml:space="preserve"> </w:t>
      </w:r>
      <w:r>
        <w:rPr>
          <w:bCs/>
          <w:b/>
        </w:rPr>
        <w:t xml:space="preserve">Architect</w:t>
      </w:r>
      <w:r>
        <w:t xml:space="preserve"> </w:t>
      </w:r>
      <w:r>
        <w:t xml:space="preserve">in Singapore serves as a pivotal agent of change, translating national sustainability policies into tangible built environments that resonate with diverse cultural demographics.</w:t>
      </w:r>
    </w:p>
    <w:bookmarkEnd w:id="21"/>
    <w:bookmarkStart w:id="22" w:name="X364077d3980191ea40fbd7d62529a330d30ca5b"/>
    <w:p>
      <w:pPr>
        <w:pStyle w:val="Heading2"/>
      </w:pPr>
      <w:r>
        <w:t xml:space="preserve">II. The Regulatory Landscape: Constraints as Catalysts</w:t>
      </w:r>
    </w:p>
    <w:p>
      <w:pPr>
        <w:pStyle w:val="FirstParagraph"/>
      </w:pPr>
      <w:r>
        <w:t xml:space="preserve">To understand the practice of architecture in this region, one must first appreciate the rigorous regulatory framework. The</w:t>
      </w:r>
      <w:r>
        <w:t xml:space="preserve"> </w:t>
      </w:r>
      <w:r>
        <w:rPr>
          <w:bCs/>
          <w:b/>
        </w:rPr>
        <w:t xml:space="preserve">Singapore Singapore</w:t>
      </w:r>
      <w:r>
        <w:t xml:space="preserve"> </w:t>
      </w:r>
      <w:r>
        <w:t xml:space="preserve">government has implemented stringent policies such as the Green Mark certification scheme, which mandates energy efficiency and environmental performance standards for all new buildings. For an</w:t>
      </w:r>
      <w:r>
        <w:t xml:space="preserve"> </w:t>
      </w:r>
      <w:r>
        <w:rPr>
          <w:bCs/>
          <w:b/>
        </w:rPr>
        <w:t xml:space="preserve">Architect</w:t>
      </w:r>
      <w:r>
        <w:t xml:space="preserve">, these regulations are not merely hurdles but rather catalysts for innovation.</w:t>
      </w:r>
    </w:p>
    <w:p>
      <w:pPr>
        <w:pStyle w:val="BodyText"/>
      </w:pPr>
      <w:r>
        <w:t xml:space="preserve">The requirement to replace greenery lost on the ground with vertical greenery or sky gardens has fundamentally altered the aesthetic and structural approach of an</w:t>
      </w:r>
      <w:r>
        <w:t xml:space="preserve"> </w:t>
      </w:r>
      <w:r>
        <w:rPr>
          <w:bCs/>
          <w:b/>
        </w:rPr>
        <w:t xml:space="preserve">Architect</w:t>
      </w:r>
      <w:r>
        <w:t xml:space="preserve">. In many international contexts, facades are treated as envelopes. In</w:t>
      </w:r>
      <w:r>
        <w:t xml:space="preserve"> </w:t>
      </w:r>
      <w:r>
        <w:rPr>
          <w:bCs/>
          <w:b/>
        </w:rPr>
        <w:t xml:space="preserve">Singapore</w:t>
      </w:r>
      <w:r>
        <w:t xml:space="preserve">, the facade is treated as a third dimension for ecological integration. This shift requires an</w:t>
      </w:r>
      <w:r>
        <w:t xml:space="preserve"> </w:t>
      </w:r>
      <w:r>
        <w:rPr>
          <w:bCs/>
          <w:b/>
        </w:rPr>
        <w:t xml:space="preserve">Architect</w:t>
      </w:r>
      <w:r>
        <w:t xml:space="preserve"> </w:t>
      </w:r>
      <w:r>
        <w:t xml:space="preserve">to collaborate closely with horticulturists and structural engineers from the earliest stages of conceptualization, ensuring that plant loads are accounted for and irrigation systems are seamlessly integrated into the building’s core services.</w:t>
      </w:r>
    </w:p>
    <w:bookmarkEnd w:id="22"/>
    <w:bookmarkStart w:id="23" w:name="iii.-biophilic-design-the-city-in-nature"/>
    <w:p>
      <w:pPr>
        <w:pStyle w:val="Heading2"/>
      </w:pPr>
      <w:r>
        <w:t xml:space="preserve">III. Biophilic Design: The 'City in Nature'</w:t>
      </w:r>
    </w:p>
    <w:p>
      <w:pPr>
        <w:pStyle w:val="FirstParagraph"/>
      </w:pPr>
      <w:r>
        <w:t xml:space="preserve">The most visible evolution in Singaporean architecture is the rise of biophilic design. Under the “City in Nature” initiative, an</w:t>
      </w:r>
      <w:r>
        <w:t xml:space="preserve"> </w:t>
      </w:r>
      <w:r>
        <w:rPr>
          <w:bCs/>
          <w:b/>
        </w:rPr>
        <w:t xml:space="preserve">Architect</w:t>
      </w:r>
      <w:r>
        <w:t xml:space="preserve">’s goal is to blur the boundaries between indoor and outdoor spaces. Iconic projects such as Parkroyal on Pickering and Oasia Hotel Downtown exemplify this shift. In these structures, the</w:t>
      </w:r>
      <w:r>
        <w:t xml:space="preserve"> </w:t>
      </w:r>
      <w:r>
        <w:rPr>
          <w:bCs/>
          <w:b/>
        </w:rPr>
        <w:t xml:space="preserve">Architect</w:t>
      </w:r>
      <w:r>
        <w:t xml:space="preserve"> </w:t>
      </w:r>
      <w:r>
        <w:t xml:space="preserve">has utilized perforated facades and cascading terraces to create habitats for local biodiversity.</w:t>
      </w:r>
    </w:p>
    <w:p>
      <w:pPr>
        <w:pStyle w:val="BodyText"/>
      </w:pPr>
      <w:r>
        <w:t xml:space="preserve">This approach requires a deep understanding of microclimates. An</w:t>
      </w:r>
      <w:r>
        <w:t xml:space="preserve"> </w:t>
      </w:r>
      <w:r>
        <w:rPr>
          <w:bCs/>
          <w:b/>
        </w:rPr>
        <w:t xml:space="preserve">Architect</w:t>
      </w:r>
      <w:r>
        <w:t xml:space="preserve"> </w:t>
      </w:r>
      <w:r>
        <w:t xml:space="preserve">working in Singapore must simulate how wind flows through dense urban canyons to ensure that natural ventilation remains effective even with the added mass of vegetation. The integration of water features, such as the Supertrees at Gardens by the Bay, further demonstrates how an</w:t>
      </w:r>
      <w:r>
        <w:t xml:space="preserve"> </w:t>
      </w:r>
      <w:r>
        <w:rPr>
          <w:bCs/>
          <w:b/>
        </w:rPr>
        <w:t xml:space="preserve">Architect</w:t>
      </w:r>
      <w:r>
        <w:t xml:space="preserve"> </w:t>
      </w:r>
      <w:r>
        <w:t xml:space="preserve">can merge art, engineering, and ecology. These elements are not decorative; they serve functional purposes in rainwater harvesting and solar energy generation. Consequently, the output of any</w:t>
      </w:r>
      <w:r>
        <w:t xml:space="preserve"> </w:t>
      </w:r>
      <w:r>
        <w:rPr>
          <w:bCs/>
          <w:b/>
        </w:rPr>
        <w:t xml:space="preserve">Architect</w:t>
      </w:r>
      <w:r>
        <w:t xml:space="preserve">’s firm in this region is increasingly measured by its ecological contribution rather than solely its visual impact.</w:t>
      </w:r>
    </w:p>
    <w:bookmarkEnd w:id="23"/>
    <w:bookmarkStart w:id="24" w:name="Xa7b71234e494989092669b150c86da771920617"/>
    <w:p>
      <w:pPr>
        <w:pStyle w:val="Heading2"/>
      </w:pPr>
      <w:r>
        <w:t xml:space="preserve">IV. Technological Integration and Digital Twins</w:t>
      </w:r>
    </w:p>
    <w:p>
      <w:pPr>
        <w:pStyle w:val="FirstParagraph"/>
      </w:pPr>
      <w:r>
        <w:t xml:space="preserve">Innovation in design technology is another pillar supporting the modern</w:t>
      </w:r>
      <w:r>
        <w:t xml:space="preserve"> </w:t>
      </w:r>
      <w:r>
        <w:rPr>
          <w:bCs/>
          <w:b/>
        </w:rPr>
        <w:t xml:space="preserve">Architect</w:t>
      </w:r>
      <w:r>
        <w:t xml:space="preserve">. In</w:t>
      </w:r>
      <w:r>
        <w:t xml:space="preserve"> </w:t>
      </w:r>
      <w:r>
        <w:rPr>
          <w:bCs/>
          <w:b/>
        </w:rPr>
        <w:t xml:space="preserve">Singapore Singapore</w:t>
      </w:r>
      <w:r>
        <w:t xml:space="preserve">, the adoption of Building Information Modeling (BIM) and digital twin technology has become standard practice. This allows an</w:t>
      </w:r>
      <w:r>
        <w:t xml:space="preserve"> </w:t>
      </w:r>
      <w:r>
        <w:rPr>
          <w:bCs/>
          <w:b/>
        </w:rPr>
        <w:t xml:space="preserve">Architect</w:t>
      </w:r>
      <w:r>
        <w:t xml:space="preserve"> to visualize not just the geometry of a building but its performance data in real-time.</w:t>
      </w:r>
    </w:p>
    <w:p>
      <w:pPr>
        <w:pStyle w:val="BodyText"/>
      </w:pPr>
      <w:r>
        <w:t xml:space="preserve">For instance, during the design phase, an</w:t>
      </w:r>
      <w:r>
        <w:t xml:space="preserve"> </w:t>
      </w:r>
      <w:r>
        <w:rPr>
          <w:bCs/>
          <w:b/>
        </w:rPr>
        <w:t xml:space="preserve">Architect</w:t>
      </w:r>
      <w:r>
        <w:t xml:space="preserve"> can use computational tools to analyze solar gain throughout the day and year, optimizing window placements to reduce cooling loads. This level of precision is vital in a tropical climate where heat rejection is a primary concern. Furthermore, as Smart Nation initiatives expand across</w:t>
      </w:r>
      <w:r>
        <w:t xml:space="preserve"> </w:t>
      </w:r>
      <w:r>
        <w:rPr>
          <w:bCs/>
          <w:b/>
        </w:rPr>
        <w:t xml:space="preserve">Singapore</w:t>
      </w:r>
      <w:r>
        <w:t xml:space="preserve">, an</w:t>
      </w:r>
      <w:r>
        <w:t xml:space="preserve"> </w:t>
      </w:r>
      <w:r>
        <w:rPr>
          <w:bCs/>
          <w:b/>
        </w:rPr>
        <w:t xml:space="preserve">Architect</w:t>
      </w:r>
      <w:r>
        <w:t xml:space="preserve"> must design infrastructure that accommodates IoT sensors and data collection points. The building becomes a living organism, constantly communicating with the city grid. This technological convergence demands that an</w:t>
      </w:r>
      <w:r>
        <w:t xml:space="preserve"> </w:t>
      </w:r>
      <w:r>
        <w:rPr>
          <w:bCs/>
          <w:b/>
        </w:rPr>
        <w:t xml:space="preserve">Architect</w:t>
      </w:r>
      <w:r>
        <w:t xml:space="preserve"> possess fluency in digital literacy alongside traditional design principles.</w:t>
      </w:r>
    </w:p>
    <w:bookmarkEnd w:id="24"/>
    <w:bookmarkStart w:id="25" w:name="v.-social-cohesion-and-cultural-identity"/>
    <w:p>
      <w:pPr>
        <w:pStyle w:val="Heading2"/>
      </w:pPr>
      <w:r>
        <w:t xml:space="preserve">V. Social Cohesion and Cultural Identity</w:t>
      </w:r>
    </w:p>
    <w:p>
      <w:pPr>
        <w:pStyle w:val="FirstParagraph"/>
      </w:pPr>
      <w:r>
        <w:t xml:space="preserve">Beyond environmental and technical challenges, the</w:t>
      </w:r>
      <w:r>
        <w:t xml:space="preserve"> </w:t>
      </w:r>
      <w:r>
        <w:rPr>
          <w:bCs/>
          <w:b/>
        </w:rPr>
        <w:t xml:space="preserve">Architect </w:t>
      </w:r>
      <w:r>
        <w:t xml:space="preserve">In Singapore also plays a crucial social role. Given the multi-ethnic fabric of</w:t>
      </w:r>
      <w:r>
        <w:t xml:space="preserve"> </w:t>
      </w:r>
      <w:r>
        <w:rPr>
          <w:bCs/>
          <w:b/>
        </w:rPr>
        <w:t xml:space="preserve">Singapore Singapore</w:t>
      </w:r>
      <w:r>
        <w:t xml:space="preserve">, public housing (HDB) projects and community centers must foster inclusivity. The design language employed by an</w:t>
      </w:r>
      <w:r>
        <w:t xml:space="preserve"> </w:t>
      </w:r>
      <w:r>
        <w:rPr>
          <w:bCs/>
          <w:b/>
        </w:rPr>
        <w:t xml:space="preserve">Architect</w:t>
      </w:r>
      <w:r>
        <w:t xml:space="preserve"> must reflect local cultural nuances while promoting interaction among residents.</w:t>
      </w:r>
    </w:p>
    <w:p>
      <w:pPr>
        <w:pStyle w:val="BodyText"/>
      </w:pPr>
      <w:r>
        <w:t xml:space="preserve">Recent trends show a move towards “sense of place” architecture, where heritage elements are preserved and integrated into modern developments. An</w:t>
      </w:r>
      <w:r>
        <w:t xml:space="preserve"> </w:t>
      </w:r>
      <w:r>
        <w:rPr>
          <w:bCs/>
          <w:b/>
        </w:rPr>
        <w:t xml:space="preserve">Architect</w:t>
      </w:r>
      <w:r>
        <w:t xml:space="preserve"> working on conservation shophouses, for example, must balance heritage preservation with contemporary functional requirements. This requires sensitivity to the historical narrative of the site. By doing so, the</w:t>
      </w:r>
      <w:r>
        <w:t xml:space="preserve"> </w:t>
      </w:r>
      <w:r>
        <w:rPr>
          <w:bCs/>
          <w:b/>
        </w:rPr>
        <w:t xml:space="preserve">Architect</w:t>
      </w:r>
      <w:r>
        <w:t xml:space="preserve"> helps maintain the unique identity of neighborhoods within</w:t>
      </w:r>
      <w:r>
        <w:t xml:space="preserve"> </w:t>
      </w:r>
      <w:r>
        <w:rPr>
          <w:bCs/>
          <w:b/>
        </w:rPr>
        <w:t xml:space="preserve">Singapore Singapore</w:t>
      </w:r>
      <w:r>
        <w:t xml:space="preserve">, preventing cultural homogenization amidst rapid urbanization.</w:t>
      </w:r>
    </w:p>
    <w:bookmarkEnd w:id="25"/>
    <w:bookmarkStart w:id="27" w:name="vi.-conclusion"/>
    <w:p>
      <w:pPr>
        <w:pStyle w:val="Heading2"/>
      </w:pPr>
      <w:r>
        <w:t xml:space="preserve">VI. Conclusion</w:t>
      </w:r>
    </w:p>
    <w:p>
      <w:pPr>
        <w:pStyle w:val="FirstParagraph"/>
      </w:pPr>
      <w:r>
        <w:t xml:space="preserve">In conclusion, the practice of architecture in</w:t>
      </w:r>
      <w:r>
        <w:t xml:space="preserve"> </w:t>
      </w:r>
      <w:r>
        <w:rPr>
          <w:bCs/>
          <w:b/>
        </w:rPr>
        <w:t xml:space="preserve">Singapore Singapore</w:t>
      </w:r>
      <w:r>
        <w:t xml:space="preserve"> is at a crossroads of sustainability, technology, and social responsibility. The role of the</w:t>
      </w:r>
      <w:r>
        <w:t xml:space="preserve"> </w:t>
      </w:r>
      <w:r>
        <w:rPr>
          <w:bCs/>
          <w:b/>
        </w:rPr>
        <w:t xml:space="preserve">Architect</w:t>
      </w:r>
      <w:r>
        <w:t xml:space="preserve"> has evolved from that of a solitary creator to that of a collaborative systems thinker. As global cities look toward Singapore for models on high-density sustainable living, the lessons learned by local architects are becoming increasingly relevant worldwide.</w:t>
      </w:r>
    </w:p>
    <w:p>
      <w:pPr>
        <w:pStyle w:val="BodyText"/>
      </w:pPr>
      <w:r>
        <w:t xml:space="preserve">The future architect in this region will need to be adept at navigating complex regulatory environments, proficient in digital technologies, and deeply committed to ecological restoration. For</w:t>
      </w:r>
      <w:r>
        <w:t xml:space="preserve"> </w:t>
      </w:r>
      <w:r>
        <w:rPr>
          <w:bCs/>
          <w:b/>
        </w:rPr>
        <w:t xml:space="preserve">Singapore Singapore</w:t>
      </w:r>
      <w:r>
        <w:t xml:space="preserve">, the success of its urban vision relies heavily on the ability of each</w:t>
      </w:r>
      <w:r>
        <w:t xml:space="preserve"> </w:t>
      </w:r>
      <w:r>
        <w:rPr>
          <w:bCs/>
          <w:b/>
        </w:rPr>
        <w:t xml:space="preserve">Architect</w:t>
      </w:r>
      <w:r>
        <w:t xml:space="preserve"> to innovate within constraints. As we move forward, it is imperative that architectural education and practice continue to adapt, ensuring that the built environment remains resilient, inclusive, and harmonious with nature.</w:t>
      </w:r>
    </w:p>
    <w:bookmarkStart w:id="26" w:name="references"/>
    <w:p>
      <w:pPr>
        <w:pStyle w:val="Heading3"/>
      </w:pPr>
      <w:r>
        <w:t xml:space="preserve">References</w:t>
      </w:r>
    </w:p>
    <w:p>
      <w:pPr>
        <w:numPr>
          <w:ilvl w:val="0"/>
          <w:numId w:val="1001"/>
        </w:numPr>
        <w:pStyle w:val="Compact"/>
      </w:pPr>
      <w:r>
        <w:t xml:space="preserve">Abramson &amp; Associates. (2021). *Biophilic Architecture in Tropical Climates*. Singapore: Architectural Press.</w:t>
      </w:r>
    </w:p>
    <w:p>
      <w:pPr>
        <w:numPr>
          <w:ilvl w:val="0"/>
          <w:numId w:val="1001"/>
        </w:numPr>
        <w:pStyle w:val="Compact"/>
      </w:pPr>
      <w:r>
        <w:t xml:space="preserve">Built Environment Sustainability Taskforce. (2019). *Realizing the Vision for a Sustainable Built Environment in Singapore*. Singapore Government Publications.</w:t>
      </w:r>
    </w:p>
    <w:p>
      <w:pPr>
        <w:numPr>
          <w:ilvl w:val="0"/>
          <w:numId w:val="1001"/>
        </w:numPr>
        <w:pStyle w:val="Compact"/>
      </w:pPr>
      <w:r>
        <w:t xml:space="preserve">Kwong, K. Y., &amp; Wong, N. H. (2020). "Greening High-Rise Buildings in Singapore: A Review of Vertical Garden Systems." *Journal of Architectural Engineering*, 15(3), 45-62.</w:t>
      </w:r>
    </w:p>
    <w:p>
      <w:pPr>
        <w:numPr>
          <w:ilvl w:val="0"/>
          <w:numId w:val="1001"/>
        </w:numPr>
        <w:pStyle w:val="Compact"/>
      </w:pPr>
      <w:r>
        <w:t xml:space="preserve">Loh, C., &amp; Goulet, J.-A. (2018). "Life-Cycle Carbon Footprint Analysis for Sustainable Construction in Singapore." *Automation in Construction*, 89, 1-12.</w:t>
      </w:r>
    </w:p>
    <w:p>
      <w:pPr>
        <w:numPr>
          <w:ilvl w:val="0"/>
          <w:numId w:val="1001"/>
        </w:numPr>
        <w:pStyle w:val="Compact"/>
      </w:pPr>
      <w:r>
        <w:t xml:space="preserve">National University of Singapore. (2023). *Urban Design Studio: Case Studies in Density*. NUS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Singapore: Navigating Sustainability and Urban Density</dc:title>
  <dc:creator/>
  <dc:language>en</dc:language>
  <cp:keywords/>
  <dcterms:created xsi:type="dcterms:W3CDTF">2026-07-29T11:49:32Z</dcterms:created>
  <dcterms:modified xsi:type="dcterms:W3CDTF">2026-07-29T11:49:32Z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