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Technological</w:t>
      </w:r>
      <w:r>
        <w:t xml:space="preserve"> </w:t>
      </w:r>
      <w:r>
        <w:t xml:space="preserve">Integration</w:t>
      </w:r>
    </w:p>
    <w:bookmarkStart w:id="28" w:name="X3502057bbe22bfae3c89fb367fd6efedb788d87"/>
    <w:p>
      <w:pPr>
        <w:pStyle w:val="Heading1"/>
      </w:pPr>
      <w:r>
        <w:t xml:space="preserve">The Evolving Role of the Auditor in Australia Brisbane</w:t>
      </w:r>
      <w:r>
        <w:br/>
      </w:r>
      <w:r>
        <w:t xml:space="preserve">Navigating Regulatory Shifts and Technological Integration</w:t>
      </w:r>
    </w:p>
    <w:p>
      <w:pPr>
        <w:pStyle w:val="FirstParagraph"/>
      </w:pPr>
      <w:r>
        <w:rPr>
          <w:bCs/>
          <w:b/>
        </w:rPr>
        <w:t xml:space="preserve">J. Smith, Ph.D.</w:t>
      </w:r>
      <w:r>
        <w:br/>
      </w:r>
      <w:r>
        <w:t xml:space="preserve">Senior Fellow, Institute of Corporate Governance</w:t>
      </w:r>
      <w:r>
        <w:br/>
      </w:r>
      <w:r>
        <w:t xml:space="preserve">Brisbane, Australia</w:t>
      </w:r>
    </w:p>
    <w:bookmarkStart w:id="20" w:name="abstract"/>
    <w:p>
      <w:pPr>
        <w:pStyle w:val="Heading3"/>
      </w:pPr>
      <w:r>
        <w:t xml:space="preserve">Abstract</w:t>
      </w:r>
    </w:p>
    <w:p>
      <w:pPr>
        <w:pStyle w:val="FirstParagraph"/>
      </w:pPr>
      <w:r>
        <w:t xml:space="preserve">This paper examines the critical transformation of the auditing profession within the dynamic economic landscape of Australia Brisbane. As a burgeoning hub for resource management, financial services, and sustainable development in Queensland, Australia Brisbane presents unique challenges and opportunities for professional auditors. This study analyzes the impact of recent regulatory changes by the Australian Securities and Investments Commission (ASIC) on local audit firms, specifically focusing on how auditors must adapt to stricter governance standards while integrating advanced data analytics. The findings suggest that the traditional auditor model is insufficient for modern compliance needs in this region, necessitating a shift towards continuous auditing and enhanced forensic capabilities.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Auditor</w:t>
      </w:r>
      <w:r>
        <w:t xml:space="preserve"> </w:t>
      </w:r>
      <w:r>
        <w:t xml:space="preserve">has historically been perceived as a retrospective function, primarily concerned with verifying the accuracy of financial statements for stakeholders. However, in the contemporary business environment, particularly within specialized economic zones like</w:t>
      </w:r>
      <w:r>
        <w:t xml:space="preserve"> </w:t>
      </w:r>
      <w:r>
        <w:rPr>
          <w:bCs/>
          <w:b/>
        </w:rPr>
        <w:t xml:space="preserve">Australia Brisbane</w:t>
      </w:r>
      <w:r>
        <w:t xml:space="preserve">, this definition is rapidly expanding. Brisbane, as the capital and largest city of Queensland, serves as a critical gateway for international trade and investment into Asia-Pacific markets. Its growing prominence means that local corporations are under increased scrutiny regarding transparency, sustainability reporting, and financial integrity.</w:t>
      </w:r>
    </w:p>
    <w:p>
      <w:pPr>
        <w:pStyle w:val="BodyText"/>
      </w:pPr>
      <w:r>
        <w:t xml:space="preserve">This paper explores how the specific geographic and economic characteristics of</w:t>
      </w:r>
      <w:r>
        <w:t xml:space="preserve"> </w:t>
      </w:r>
      <w:r>
        <w:rPr>
          <w:bCs/>
          <w:b/>
        </w:rPr>
        <w:t xml:space="preserve">Australia Brisbane</w:t>
      </w:r>
      <w:r>
        <w:t xml:space="preserve"> </w:t>
      </w:r>
      <w:r>
        <w:t xml:space="preserve">influence the operational framework of auditors. We argue that auditors operating in this jurisdiction must possess not only traditional accounting competencies but also a nuanced understanding of regional regulatory pressures, climate-related financial disclosures, and digital transformation trends. The objective is to provide a comprehensive overview of the skills and strategic approaches required for auditors to maintain efficacy and credibility in this evolving market.</w:t>
      </w:r>
    </w:p>
    <w:bookmarkEnd w:id="21"/>
    <w:bookmarkStart w:id="22" w:name="X0c1e15acb9c0a7822e287c6791b04049dd73723"/>
    <w:p>
      <w:pPr>
        <w:pStyle w:val="Heading2"/>
      </w:pPr>
      <w:r>
        <w:t xml:space="preserve">2. The Regulatory Landscape in Australia Brisbane</w:t>
      </w:r>
    </w:p>
    <w:p>
      <w:pPr>
        <w:pStyle w:val="FirstParagraph"/>
      </w:pPr>
      <w:r>
        <w:t xml:space="preserve">The regulatory environment surrounding audit practices has become increasingly rigorous in recent years. For any</w:t>
      </w:r>
      <w:r>
        <w:t xml:space="preserve"> </w:t>
      </w:r>
      <w:r>
        <w:rPr>
          <w:bCs/>
          <w:b/>
        </w:rPr>
        <w:t xml:space="preserve">Auditor</w:t>
      </w:r>
      <w:r>
        <w:t xml:space="preserve"> </w:t>
      </w:r>
      <w:r>
        <w:t xml:space="preserve">working in</w:t>
      </w:r>
      <w:r>
        <w:t xml:space="preserve"> </w:t>
      </w:r>
      <w:r>
        <w:rPr>
          <w:bCs/>
          <w:b/>
        </w:rPr>
        <w:t xml:space="preserve">Australia Brisbane</w:t>
      </w:r>
      <w:r>
        <w:t xml:space="preserve">, compliance with the Corporations Act 2001 and the standards set by the Australian Auditing and Assurance Standards Board (AUAB) is paramount. However, local nuances exist. The Queensland government’s focus on infrastructure development and natural resource management creates a specific audit risk profile that differs from Sydney or Melbourne.</w:t>
      </w:r>
    </w:p>
    <w:p>
      <w:pPr>
        <w:pStyle w:val="BodyText"/>
      </w:pPr>
      <w:r>
        <w:t xml:space="preserve">Recent high-profile corporate failures in Australia have prompted ASIC to take a more aggressive stance on audit quality. For auditors based in</w:t>
      </w:r>
      <w:r>
        <w:t xml:space="preserve"> </w:t>
      </w:r>
      <w:r>
        <w:rPr>
          <w:bCs/>
          <w:b/>
        </w:rPr>
        <w:t xml:space="preserve">Australia Brisbane</w:t>
      </w:r>
      <w:r>
        <w:t xml:space="preserve">, this translates into higher expectations for professional skepticism and deeper substantive testing. The paper highlights case studies of local mid-tier firms that have successfully navigated these challenges by implementing robust internal quality control systems specifically tailored to the regional market's risk factors, such as construction contract fraud and environmental liability assessments.</w:t>
      </w:r>
    </w:p>
    <w:bookmarkEnd w:id="22"/>
    <w:bookmarkStart w:id="23" w:name="X4b67bbd20c2b7f0b412ef6c597e3730df705c5e"/>
    <w:p>
      <w:pPr>
        <w:pStyle w:val="Heading2"/>
      </w:pPr>
      <w:r>
        <w:t xml:space="preserve">3. Technological Integration and Data Analytics</w:t>
      </w:r>
    </w:p>
    <w:p>
      <w:pPr>
        <w:pStyle w:val="FirstParagraph"/>
      </w:pPr>
      <w:r>
        <w:t xml:space="preserve">One of the most significant shifts for the modern</w:t>
      </w:r>
      <w:r>
        <w:t xml:space="preserve"> </w:t>
      </w:r>
      <w:r>
        <w:rPr>
          <w:bCs/>
          <w:b/>
        </w:rPr>
        <w:t xml:space="preserve">Auditor</w:t>
      </w:r>
      <w:r>
        <w:t xml:space="preserve"> </w:t>
      </w:r>
      <w:r>
        <w:t xml:space="preserve">is the adoption of technology. In</w:t>
      </w:r>
      <w:r>
        <w:t xml:space="preserve"> </w:t>
      </w:r>
      <w:r>
        <w:rPr>
          <w:bCs/>
          <w:b/>
        </w:rPr>
        <w:t xml:space="preserve">Australia Brisbane</w:t>
      </w:r>
      <w:r>
        <w:t xml:space="preserve">, where many industries are moving towards Industry 4.0 standards, auditors can no longer rely solely on sample-based testing. The volume and velocity of financial data generated by local enterprises require sophisticated analytical tools.</w:t>
      </w:r>
    </w:p>
    <w:p>
      <w:pPr>
        <w:pStyle w:val="BodyText"/>
      </w:pPr>
      <w:r>
        <w:t xml:space="preserve">This section discusses the integration of Artificial Intelligence (AI) and Machine Learning (ML) into audit workflows in Brisbane-based firms. We examine how automated continuous auditing solutions allow auditors to monitor transactions in real-time, thereby reducing the lag between occurrence and detection of irregularities. Furthermore, the paper addresses the skills gap: many traditional auditors in</w:t>
      </w:r>
      <w:r>
        <w:t xml:space="preserve"> </w:t>
      </w:r>
      <w:r>
        <w:rPr>
          <w:bCs/>
          <w:b/>
        </w:rPr>
        <w:t xml:space="preserve">Australia Brisbane</w:t>
      </w:r>
      <w:r>
        <w:t xml:space="preserve"> </w:t>
      </w:r>
      <w:r>
        <w:t xml:space="preserve">lack sufficient data science training. We propose a framework for upskilling audit professionals to become "audit technologists," capable of interpreting complex datasets alongside financial figures.</w:t>
      </w:r>
    </w:p>
    <w:bookmarkEnd w:id="23"/>
    <w:bookmarkStart w:id="24" w:name="X448d257bd3edc7c60db0090c0678f3635c921c6"/>
    <w:p>
      <w:pPr>
        <w:pStyle w:val="Heading2"/>
      </w:pPr>
      <w:r>
        <w:t xml:space="preserve">4. Sustainability and Environmental, Social, and Governance (ESG) Auditing</w:t>
      </w:r>
    </w:p>
    <w:p>
      <w:pPr>
        <w:pStyle w:val="FirstParagraph"/>
      </w:pPr>
      <w:r>
        <w:rPr>
          <w:bCs/>
          <w:b/>
        </w:rPr>
        <w:t xml:space="preserve">Australia Brisbane</w:t>
      </w:r>
      <w:r>
        <w:t xml:space="preserve"> </w:t>
      </w:r>
      <w:r>
        <w:t xml:space="preserve">is at the forefront of Australia’s green transition. With significant investments in renewable energy projects and strict new guidelines regarding ESG reporting, the scope of auditing has broadened beyond financial metrics to include non-financial disclosures. The</w:t>
      </w:r>
      <w:r>
        <w:t xml:space="preserve"> </w:t>
      </w:r>
      <w:r>
        <w:rPr>
          <w:bCs/>
          <w:b/>
        </w:rPr>
        <w:t xml:space="preserve">Auditor</w:t>
      </w:r>
      <w:r>
        <w:t xml:space="preserve"> </w:t>
      </w:r>
      <w:r>
        <w:t xml:space="preserve">today must verify not just profit margins but also carbon footprint calculations and social impact assessments.</w:t>
      </w:r>
    </w:p>
    <w:p>
      <w:pPr>
        <w:pStyle w:val="BodyText"/>
      </w:pPr>
      <w:r>
        <w:t xml:space="preserve">The paper analyzes the challenges associated with ESG assurance in this region. Unlike financial data, ESG metrics often lack standardized global reporting frameworks, leading to ambiguity in audit procedures for professionals operating in</w:t>
      </w:r>
      <w:r>
        <w:t xml:space="preserve"> </w:t>
      </w:r>
      <w:r>
        <w:rPr>
          <w:bCs/>
          <w:b/>
        </w:rPr>
        <w:t xml:space="preserve">Australia Brisbane</w:t>
      </w:r>
      <w:r>
        <w:t xml:space="preserve">. We recommend that local audit firms collaborate with environmental experts to develop hybrid audit teams capable of validating both financial and sustainability data with equal rigor.</w:t>
      </w:r>
    </w:p>
    <w:bookmarkEnd w:id="24"/>
    <w:bookmarkStart w:id="25" w:name="challenges-and-strategic-recommendations"/>
    <w:p>
      <w:pPr>
        <w:pStyle w:val="Heading2"/>
      </w:pPr>
      <w:r>
        <w:t xml:space="preserve">5. Challenges and Strategic Recommendations</w:t>
      </w:r>
    </w:p>
    <w:p>
      <w:pPr>
        <w:pStyle w:val="FirstParagraph"/>
      </w:pPr>
      <w:r>
        <w:t xml:space="preserve">Despite the advancements, several challenges persist for auditors in</w:t>
      </w:r>
      <w:r>
        <w:t xml:space="preserve"> </w:t>
      </w:r>
      <w:r>
        <w:rPr>
          <w:bCs/>
          <w:b/>
        </w:rPr>
        <w:t xml:space="preserve">Australia Brisbane</w:t>
      </w:r>
      <w:r>
        <w:t xml:space="preserve">. These include talent retention in a competitive job market, the cost of implementing new audit technologies, and the pressure to reduce audit fees while maintaining quality. The paper proposes three strategic recommendations:</w:t>
      </w:r>
    </w:p>
    <w:p>
      <w:pPr>
        <w:numPr>
          <w:ilvl w:val="0"/>
          <w:numId w:val="1001"/>
        </w:numPr>
        <w:pStyle w:val="Compact"/>
      </w:pPr>
      <w:r>
        <w:rPr>
          <w:bCs/>
          <w:b/>
        </w:rPr>
        <w:t xml:space="preserve">Enhanced Collaboration:</w:t>
      </w:r>
      <w:r>
        <w:t xml:space="preserve"> </w:t>
      </w:r>
      <w:r>
        <w:t xml:space="preserve">Audit firms in</w:t>
      </w:r>
      <w:r>
        <w:t xml:space="preserve"> </w:t>
      </w:r>
      <w:r>
        <w:rPr>
          <w:bCs/>
          <w:b/>
        </w:rPr>
        <w:t xml:space="preserve">Australia Brisbane</w:t>
      </w:r>
      <w:r>
        <w:t xml:space="preserve"> </w:t>
      </w:r>
      <w:r>
        <w:t xml:space="preserve">should form alliances with technology providers to co-develop sector-specific audit tools.</w:t>
      </w:r>
    </w:p>
    <w:p>
      <w:pPr>
        <w:numPr>
          <w:ilvl w:val="0"/>
          <w:numId w:val="1001"/>
        </w:numPr>
        <w:pStyle w:val="Compact"/>
      </w:pPr>
      <w:r>
        <w:rPr>
          <w:bCs/>
          <w:b/>
        </w:rPr>
        <w:t xml:space="preserve">Lifelong Learning Culture:</w:t>
      </w:r>
      <w:r>
        <w:t xml:space="preserve"> </w:t>
      </w:r>
      <w:r>
        <w:t xml:space="preserve">Firms must invest in continuous professional development programs that focus on data analytics, forensic accounting, and ESG standards.</w:t>
      </w:r>
    </w:p>
    <w:p>
      <w:pPr>
        <w:numPr>
          <w:ilvl w:val="0"/>
          <w:numId w:val="1001"/>
        </w:numPr>
        <w:pStyle w:val="Compact"/>
      </w:pPr>
      <w:r>
        <w:rPr>
          <w:bCs/>
          <w:b/>
        </w:rPr>
        <w:t xml:space="preserve">Regulatory Engagement:</w:t>
      </w:r>
      <w:r>
        <w:t xml:space="preserve"> </w:t>
      </w:r>
      <w:r>
        <w:t xml:space="preserve">Auditors should actively engage with regulators in</w:t>
      </w:r>
      <w:r>
        <w:t xml:space="preserve"> </w:t>
      </w:r>
      <w:r>
        <w:rPr>
          <w:bCs/>
          <w:b/>
        </w:rPr>
        <w:t xml:space="preserve">Australia Brisbane</w:t>
      </w:r>
      <w:r>
        <w:t xml:space="preserve"> </w:t>
      </w:r>
      <w:r>
        <w:t xml:space="preserve">to provide feedback on proposed guidelines, ensuring they are practical and risk-based.</w:t>
      </w:r>
    </w:p>
    <w:bookmarkEnd w:id="25"/>
    <w:bookmarkStart w:id="26" w:name="conclusion"/>
    <w:p>
      <w:pPr>
        <w:pStyle w:val="Heading2"/>
      </w:pPr>
      <w:r>
        <w:t xml:space="preserve">6. Conclusion</w:t>
      </w:r>
    </w:p>
    <w:p>
      <w:pPr>
        <w:pStyle w:val="FirstParagraph"/>
      </w:pPr>
      <w:r>
        <w:t xml:space="preserve">The profession of the</w:t>
      </w:r>
      <w:r>
        <w:t xml:space="preserve"> </w:t>
      </w:r>
      <w:r>
        <w:rPr>
          <w:bCs/>
          <w:b/>
        </w:rPr>
        <w:t xml:space="preserve">Auditor</w:t>
      </w:r>
      <w:r>
        <w:t xml:space="preserve"> </w:t>
      </w:r>
      <w:r>
        <w:t xml:space="preserve">in</w:t>
      </w:r>
      <w:r>
        <w:t xml:space="preserve"> </w:t>
      </w:r>
      <w:r>
        <w:rPr>
          <w:bCs/>
          <w:b/>
        </w:rPr>
        <w:t xml:space="preserve">Australia Brisbane</w:t>
      </w:r>
      <w:r>
        <w:t xml:space="preserve"> </w:t>
      </w:r>
      <w:r>
        <w:t xml:space="preserve">is undergoing a profound transformation driven by regulatory pressure, technological innovation, and societal demands for sustainability. This paper has demonstrated that the traditional boundaries of audit work are dissolving. To remain relevant and effective, auditors must embrace a multidisciplinary approach that integrates technical accounting skills with digital literacy and environmental awareness.</w:t>
      </w:r>
    </w:p>
    <w:p>
      <w:pPr>
        <w:pStyle w:val="BodyText"/>
      </w:pPr>
      <w:r>
        <w:t xml:space="preserve">For stakeholders in</w:t>
      </w:r>
      <w:r>
        <w:t xml:space="preserve"> </w:t>
      </w:r>
      <w:r>
        <w:rPr>
          <w:bCs/>
          <w:b/>
        </w:rPr>
        <w:t xml:space="preserve">Australia Brisbane</w:t>
      </w:r>
      <w:r>
        <w:t xml:space="preserve">, understanding these shifts is crucial for ensuring market integrity. As the region continues to grow as an economic powerhouse, the reliability of financial reporting provided by auditors will be a cornerstone of investor confidence. Future research should focus on longitudinal studies to measure the impact of these technological and regulatory changes on audit quality metrics in Queensland.</w:t>
      </w:r>
    </w:p>
    <w:bookmarkEnd w:id="26"/>
    <w:bookmarkStart w:id="27" w:name="references"/>
    <w:p>
      <w:pPr>
        <w:pStyle w:val="Heading2"/>
      </w:pPr>
      <w:r>
        <w:t xml:space="preserve">References</w:t>
      </w:r>
    </w:p>
    <w:p>
      <w:pPr>
        <w:pStyle w:val="FirstParagraph"/>
      </w:pPr>
      <w:r>
        <w:t xml:space="preserve">[1] Australian Securities and Investments Commission. (2023).</w:t>
      </w:r>
      <w:r>
        <w:t xml:space="preserve"> </w:t>
      </w:r>
      <w:r>
        <w:rPr>
          <w:iCs/>
          <w:i/>
        </w:rPr>
        <w:t xml:space="preserve">Audit Quality Review Program: Findings and Recommendations</w:t>
      </w:r>
      <w:r>
        <w:t xml:space="preserve">. ASIC Reports.</w:t>
      </w:r>
    </w:p>
    <w:p>
      <w:pPr>
        <w:pStyle w:val="BodyText"/>
      </w:pPr>
      <w:r>
        <w:t xml:space="preserve">[2] Auditing and Assurance Standards Board. (2024).</w:t>
      </w:r>
      <w:r>
        <w:t xml:space="preserve"> </w:t>
      </w:r>
      <w:r>
        <w:rPr>
          <w:iCs/>
          <w:i/>
        </w:rPr>
        <w:t xml:space="preserve">SAS 25: The Auditor’s Responsibilities Relating to an Audit of Financial Report</w:t>
      </w:r>
      <w:r>
        <w:t xml:space="preserve">.</w:t>
      </w:r>
    </w:p>
    <w:p>
      <w:pPr>
        <w:pStyle w:val="BodyText"/>
      </w:pPr>
      <w:r>
        <w:t xml:space="preserve">[3] Queensland Government. (2023).</w:t>
      </w:r>
      <w:r>
        <w:t xml:space="preserve"> </w:t>
      </w:r>
      <w:r>
        <w:rPr>
          <w:iCs/>
          <w:i/>
        </w:rPr>
        <w:t xml:space="preserve">Economic Development Strategy for Brisbane Region</w:t>
      </w:r>
      <w:r>
        <w:t xml:space="preserve">. Department of State Development.</w:t>
      </w:r>
    </w:p>
    <w:p>
      <w:pPr>
        <w:pStyle w:val="BodyText"/>
      </w:pPr>
      <w:r>
        <w:t xml:space="preserve">[4] Smith, J., &amp; Doe, A. (2022). "Digital Transformation in Australian Audit Firms: A Case Study of Brisbane Mid-Tier Practices."</w:t>
      </w:r>
      <w:r>
        <w:t xml:space="preserve"> </w:t>
      </w:r>
      <w:r>
        <w:rPr>
          <w:iCs/>
          <w:i/>
        </w:rPr>
        <w:t xml:space="preserve">Journal of Corporate Governance and Audit</w:t>
      </w:r>
      <w:r>
        <w:t xml:space="preserv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Australia Brisbane: Navigating Regulatory Shifts and Technological Integration</dc:title>
  <dc:creator/>
  <dc:language>en</dc:language>
  <cp:keywords/>
  <dcterms:created xsi:type="dcterms:W3CDTF">2026-07-29T08:01:34Z</dcterms:created>
  <dcterms:modified xsi:type="dcterms:W3CDTF">2026-07-29T08:01:34Z</dcterms:modified>
</cp:coreProperties>
</file>

<file path=docProps/custom.xml><?xml version="1.0" encoding="utf-8"?>
<Properties xmlns="http://schemas.openxmlformats.org/officeDocument/2006/custom-properties" xmlns:vt="http://schemas.openxmlformats.org/officeDocument/2006/docPropsVTypes"/>
</file>