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Colombia</w:t>
      </w:r>
      <w:r>
        <w:t xml:space="preserve"> </w:t>
      </w:r>
      <w:r>
        <w:t xml:space="preserve">Bogotá:</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Implications</w:t>
      </w:r>
    </w:p>
    <w:bookmarkStart w:id="34" w:name="X60234c8a1e00f348583bd4bba4cc3deec45b12d"/>
    <w:p>
      <w:pPr>
        <w:pStyle w:val="Heading1"/>
      </w:pPr>
      <w:r>
        <w:t xml:space="preserve">The Evolving Role of the Auditor in Colombia Bogotá:</w:t>
      </w:r>
      <w:r>
        <w:br/>
      </w:r>
      <w:r>
        <w:t xml:space="preserve">Challenges, Opportunities, and Strategic Implications</w:t>
      </w:r>
    </w:p>
    <w:p>
      <w:pPr>
        <w:pStyle w:val="FirstParagraph"/>
      </w:pPr>
      <w:r>
        <w:rPr>
          <w:bCs/>
          <w:b/>
        </w:rPr>
        <w:t xml:space="preserve">Author:</w:t>
      </w:r>
    </w:p>
    <w:p>
      <w:pPr>
        <w:pStyle w:val="BodyText"/>
      </w:pPr>
      <w:r>
        <w:br/>
      </w:r>
      <w:r>
        <w:t xml:space="preserve">[Your Name/Consortium]</w:t>
      </w:r>
      <w:r>
        <w:br/>
      </w:r>
      <w:r>
        <w:t xml:space="preserve">Department of Accounting and Auditing</w:t>
      </w:r>
      <w:r>
        <w:br/>
      </w:r>
      <w:r>
        <w:t xml:space="preserve">Academic Institution for Financial Studies</w:t>
      </w:r>
      <w:r>
        <w:br/>
      </w:r>
      <w:r>
        <w:t xml:space="preserve">Bogotá, Colombia</w:t>
      </w:r>
    </w:p>
    <w:bookmarkStart w:id="20" w:name="abstract"/>
    <w:p>
      <w:pPr>
        <w:pStyle w:val="Heading3"/>
      </w:pPr>
      <w:r>
        <w:t xml:space="preserve">Abstract</w:t>
      </w:r>
    </w:p>
    <w:p>
      <w:pPr>
        <w:pStyle w:val="FirstParagraph"/>
      </w:pPr>
      <w:r>
        <w:t xml:space="preserve">This conference paper examines the critical role of the Auditor within the specific economic and regulatory landscape of Colombia Bogotá. As the capital city serves as the commercial heart of Colombia, it hosts a dense concentration of multinational corporations, financial institutions, and small-to-medium enterprises (SMEs). The paper analyzes how local regulations mandated by Superintendencias such as SVV (Superintendencia de Vigilancia y Prevención del Lavado de Activos) and SAT (Superintendencia de Sociedades) intersect with International Standards on Auditing. Furthermore, it discusses the technological disruptions facing the auditing profession in this region, including digital transformation, data analytics, and cybersecurity risks. The study concludes that modern Auditor professionals in Colombia Bogotá must evolve from traditional compliance checkers to strategic risk advisors who can navigate complex regulatory frameworks while leveraging advanced technological tools.</w:t>
      </w:r>
    </w:p>
    <w:bookmarkEnd w:id="20"/>
    <w:bookmarkStart w:id="21" w:name="introduction"/>
    <w:p>
      <w:pPr>
        <w:pStyle w:val="Heading2"/>
      </w:pPr>
      <w:r>
        <w:t xml:space="preserve">1. Introduction</w:t>
      </w:r>
    </w:p>
    <w:p>
      <w:pPr>
        <w:pStyle w:val="FirstParagraph"/>
      </w:pPr>
      <w:r>
        <w:t xml:space="preserve">In the contemporary global economy, the integrity of financial reporting is paramount for market stability and investor confidence. In this context, the Auditor serves as a pivotal gatekeeper of transparency and accountability. However, the practice of auditing is not uniform across jurisdictions; it is deeply influenced by local legal frameworks, cultural business practices, and economic conditions. This paper focuses specifically on Colombia Bogotá, a city that has emerged as one of the leading economic hubs in Latin America. As Bogotá continues to attract foreign direct investment and foster local entrepreneurial growth, the demand for high-quality audit services has intensified.</w:t>
      </w:r>
    </w:p>
    <w:p>
      <w:pPr>
        <w:pStyle w:val="BodyText"/>
      </w:pPr>
      <w:r>
        <w:t xml:space="preserve">The relevance of this study lies in its contextual focus. While much literature addresses auditing from a general international perspective, few studies delve into the nuanced challenges faced by Auditor professionals operating within the specific regulatory environment of Colombia Bogotá. This paper aims to bridge that gap by analyzing how local mandates interact with global standards and how technological advancements are reshaping the profession in this vibrant capital city.</w:t>
      </w:r>
    </w:p>
    <w:bookmarkEnd w:id="21"/>
    <w:bookmarkStart w:id="24" w:name="regulatory-framework-in-colombia-bogotá"/>
    <w:p>
      <w:pPr>
        <w:pStyle w:val="Heading2"/>
      </w:pPr>
      <w:r>
        <w:t xml:space="preserve">2. Regulatory Framework in Colombia Bogotá</w:t>
      </w:r>
    </w:p>
    <w:p>
      <w:pPr>
        <w:pStyle w:val="FirstParagraph"/>
      </w:pPr>
      <w:r>
        <w:t xml:space="preserve">The professional practice of auditing in Colombia is governed by a robust regulatory framework designed to ensure transparency, prevent money laundering, and protect investors. For any Auditor operating in Colombia Bogotá, understanding these dual layers of regulation—national and international—is essential.</w:t>
      </w:r>
    </w:p>
    <w:bookmarkStart w:id="22" w:name="national-supervisory-bodies"/>
    <w:p>
      <w:pPr>
        <w:pStyle w:val="Heading3"/>
      </w:pPr>
      <w:r>
        <w:t xml:space="preserve">2.1 National Supervisory Bodies</w:t>
      </w:r>
    </w:p>
    <w:p>
      <w:pPr>
        <w:pStyle w:val="FirstParagraph"/>
      </w:pPr>
      <w:r>
        <w:t xml:space="preserve">In Colombia Bogotá, the primary supervisors of auditing activities include the Superintendencia de Sociedades (SAT) and the Superintendencia Financiera de Colombia (SFC). The SAT oversees non-financial entities, requiring rigorous audits for companies meeting certain asset or revenue thresholds. Meanwhile, the SFC regulates financial institutions, imposing strict capital adequacy and reporting standards. For an Auditor in this region, compliance with these bodies often requires more than just checking financial statements; it involves extensive anti-money laundering (AML) monitoring under Law 178 of 2016.</w:t>
      </w:r>
    </w:p>
    <w:bookmarkEnd w:id="22"/>
    <w:bookmarkStart w:id="23" w:name="international-standards"/>
    <w:p>
      <w:pPr>
        <w:pStyle w:val="Heading3"/>
      </w:pPr>
      <w:r>
        <w:t xml:space="preserve">2.2 International Standards</w:t>
      </w:r>
    </w:p>
    <w:p>
      <w:pPr>
        <w:pStyle w:val="FirstParagraph"/>
      </w:pPr>
      <w:r>
        <w:t xml:space="preserve">To maintain competitiveness and attract international capital, many firms in Colombia Bogotá have adopted the International Standards on Auditing (ISA). The transition from local Generally Accepted Auditing Standards (GAAS) to ISA has required significant upskilling among Auditor professionals. This harmonization facilitates cross-border investments but places a higher burden on local firms to maintain quality control mechanisms that meet global expectations.</w:t>
      </w:r>
    </w:p>
    <w:bookmarkEnd w:id="23"/>
    <w:bookmarkEnd w:id="24"/>
    <w:bookmarkStart w:id="27" w:name="Xabd0cbfd4503ca2eb6a18bbc98927a05161ff5b"/>
    <w:p>
      <w:pPr>
        <w:pStyle w:val="Heading2"/>
      </w:pPr>
      <w:r>
        <w:t xml:space="preserve">3. Technological Disruption and Digital Transformation</w:t>
      </w:r>
    </w:p>
    <w:p>
      <w:pPr>
        <w:pStyle w:val="FirstParagraph"/>
      </w:pPr>
      <w:r>
        <w:t xml:space="preserve">The landscape of auditing is undergoing a profound transformation driven by digital technologies. In Colombia Bogotá, the adoption of these technologies varies significantly between large multinational audit firms headquartered in Chapinero or Usaquén and smaller local practices.</w:t>
      </w:r>
    </w:p>
    <w:bookmarkStart w:id="25" w:name="data-analytics-and-ai"/>
    <w:p>
      <w:pPr>
        <w:pStyle w:val="Heading3"/>
      </w:pPr>
      <w:r>
        <w:t xml:space="preserve">3.1 Data Analytics and AI</w:t>
      </w:r>
    </w:p>
    <w:p>
      <w:pPr>
        <w:pStyle w:val="FirstParagraph"/>
      </w:pPr>
      <w:r>
        <w:t xml:space="preserve">Gone are the days when an Auditor relied solely on manual sampling. Today, advanced data analytics tools allow for 100% population testing rather than statistical sampling. In Bogotá, leading firms are leveraging Artificial Intelligence (AI) to detect anomalies in transaction patterns that may indicate fraud or error. This shift requires Auditor professionals to possess not only accounting knowledge but also proficiency in data science and software interpretation.</w:t>
      </w:r>
    </w:p>
    <w:bookmarkEnd w:id="25"/>
    <w:bookmarkStart w:id="26" w:name="cybersecurity-risks"/>
    <w:p>
      <w:pPr>
        <w:pStyle w:val="Heading3"/>
      </w:pPr>
      <w:r>
        <w:t xml:space="preserve">3.2 Cybersecurity Risks</w:t>
      </w:r>
    </w:p>
    <w:p>
      <w:pPr>
        <w:pStyle w:val="FirstParagraph"/>
      </w:pPr>
      <w:r>
        <w:t xml:space="preserve">As Colombian businesses digitize their operations, the risk of cyber threats increases. The Auditor must now assess the effectiveness of an entity’s cybersecurity controls as part of the internal control evaluation. Failure to adequately address IT general controls can lead to material misstatements or significant reputational damage for both the client and the Audit firm.</w:t>
      </w:r>
    </w:p>
    <w:bookmarkEnd w:id="26"/>
    <w:bookmarkEnd w:id="27"/>
    <w:bookmarkStart w:id="28" w:name="Xeb729020c0fff9f107a61b081eb9fa1bf74e9c3"/>
    <w:p>
      <w:pPr>
        <w:pStyle w:val="Heading2"/>
      </w:pPr>
      <w:r>
        <w:t xml:space="preserve">4. Ethical Challenges and Professional Skepticism</w:t>
      </w:r>
    </w:p>
    <w:p>
      <w:pPr>
        <w:pStyle w:val="FirstParagraph"/>
      </w:pPr>
      <w:r>
        <w:t xml:space="preserve">Ethics remains the cornerstone of the auditing profession. In Colombia Bogotá, where business networks are often tight-knit, maintaining independence can be challenging. The concept of "cousinismo" or familial connections in business can sometimes blur professional boundaries. Therefore, Auditor professionals must exercise heightened professional skepticism and adhere strictly to ethical codes promulgated by the Colegio Colombiano de Contadores (CCC) and international ethics boards.</w:t>
      </w:r>
    </w:p>
    <w:p>
      <w:pPr>
        <w:pStyle w:val="BodyText"/>
      </w:pPr>
      <w:r>
        <w:t xml:space="preserve">Misconduct in auditing can have severe consequences, not only for the firm involved but also for the broader perception of capital markets in Colombia. Recent high-profile cases globally have heightened regulatory scrutiny, prompting Colombian authorities to impose stricter penalties on audit failures.</w:t>
      </w:r>
    </w:p>
    <w:bookmarkEnd w:id="28"/>
    <w:bookmarkStart w:id="31" w:name="Xdc0edf4062ad2dc03677965178c3e0c1fa39016"/>
    <w:p>
      <w:pPr>
        <w:pStyle w:val="Heading2"/>
      </w:pPr>
      <w:r>
        <w:t xml:space="preserve">5. The Future Outlook: Strategic Value Creation</w:t>
      </w:r>
    </w:p>
    <w:p>
      <w:pPr>
        <w:pStyle w:val="FirstParagraph"/>
      </w:pPr>
      <w:r>
        <w:t xml:space="preserve">The future role of the Auditor in Colombia Bogotá extends beyond statutory compliance. Stakeholders are increasingly seeking value-added services that provide insights into operational efficiency, sustainability reporting (ESG), and strategic risk management.</w:t>
      </w:r>
    </w:p>
    <w:bookmarkStart w:id="29" w:name="esg-and-sustainability"/>
    <w:p>
      <w:pPr>
        <w:pStyle w:val="Heading3"/>
      </w:pPr>
      <w:r>
        <w:t xml:space="preserve">5.1 ESG and Sustainability</w:t>
      </w:r>
    </w:p>
    <w:p>
      <w:pPr>
        <w:pStyle w:val="FirstParagraph"/>
      </w:pPr>
      <w:r>
        <w:t xml:space="preserve">With global emphasis on Environmental, Social, and Governance (ESG) criteria, Auditor professionals in Bogotá are being asked to verify non-financial reports. As Colombian companies seek green financing or international partnerships, the assurance of sustainability data is becoming a critical service offering.</w:t>
      </w:r>
    </w:p>
    <w:bookmarkEnd w:id="29"/>
    <w:bookmarkStart w:id="30" w:name="continuous-auditing"/>
    <w:p>
      <w:pPr>
        <w:pStyle w:val="Heading3"/>
      </w:pPr>
      <w:r>
        <w:t xml:space="preserve">5.2 Continuous Auditing</w:t>
      </w:r>
    </w:p>
    <w:p>
      <w:pPr>
        <w:pStyle w:val="FirstParagraph"/>
      </w:pPr>
      <w:r>
        <w:t xml:space="preserve">The move towards continuous auditing, enabled by real-time data access and cloud computing, will redefine the audit cycle. Instead of annual reviews, Auditor professionals may engage in periodic or real-time monitoring of client systems. This approach enhances the relevance of audit findings and allows for immediate corrective actions.</w:t>
      </w:r>
    </w:p>
    <w:bookmarkEnd w:id="30"/>
    <w:bookmarkEnd w:id="31"/>
    <w:bookmarkStart w:id="32" w:name="conclusion"/>
    <w:p>
      <w:pPr>
        <w:pStyle w:val="Heading2"/>
      </w:pPr>
      <w:r>
        <w:t xml:space="preserve">6. Conclusion</w:t>
      </w:r>
    </w:p>
    <w:p>
      <w:pPr>
        <w:pStyle w:val="FirstParagraph"/>
      </w:pPr>
      <w:r>
        <w:t xml:space="preserve">In conclusion, the role of the Auditor in Colombia Bogotá is evolving rapidly to meet the demands of a complex, regulated, and technologically advanced economy. While traditional compliance remains foundational, the modern Auditor must be a multifaceted professional capable of navigating intricate regulatory landscapes involving SAT and SVV directives while mastering new technologies like AI and data analytics.</w:t>
      </w:r>
    </w:p>
    <w:p>
      <w:pPr>
        <w:pStyle w:val="BodyText"/>
      </w:pPr>
      <w:r>
        <w:t xml:space="preserve">For professionals operating in this sector, continuous education is no longer optional but imperative. The integration of international standards with local realities requires a deep understanding of both global best practices and Colombian legal nuances. As Colombia Bogotá continues to solidify its position as a regional economic leader, the demand for trustworthy, insightful, and technologically adept Auditor services will only grow. It is through this evolution that the auditing profession can truly add value to stakeholders and contribute to the sustainable economic development of the nation.</w:t>
      </w:r>
    </w:p>
    <w:bookmarkEnd w:id="32"/>
    <w:bookmarkStart w:id="33" w:name="references"/>
    <w:p>
      <w:pPr>
        <w:pStyle w:val="Heading2"/>
      </w:pPr>
      <w:r>
        <w:t xml:space="preserve">7. References</w:t>
      </w:r>
    </w:p>
    <w:p>
      <w:pPr>
        <w:numPr>
          <w:ilvl w:val="0"/>
          <w:numId w:val="1001"/>
        </w:numPr>
        <w:pStyle w:val="Compact"/>
      </w:pPr>
      <w:r>
        <w:t xml:space="preserve">Congreso de la República de Colombia. (2016). Ley 1783 sobre lavado de activos y financiación del terrorismo.</w:t>
      </w:r>
    </w:p>
    <w:p>
      <w:pPr>
        <w:numPr>
          <w:ilvl w:val="0"/>
          <w:numId w:val="1001"/>
        </w:numPr>
        <w:pStyle w:val="Compact"/>
      </w:pPr>
      <w:r>
        <w:t xml:space="preserve">Superintendencia Financiera de Colombia. (2023). Manual Único de Regulación Financiera.</w:t>
      </w:r>
    </w:p>
    <w:p>
      <w:pPr>
        <w:numPr>
          <w:ilvl w:val="0"/>
          <w:numId w:val="1001"/>
        </w:numPr>
        <w:pStyle w:val="Compact"/>
      </w:pPr>
      <w:r>
        <w:t xml:space="preserve">Institute of Internal Auditors. (2020). Global Technology Audit Guide (GTAG): Cybersecurity for Internal Auditing.</w:t>
      </w:r>
    </w:p>
    <w:p>
      <w:pPr>
        <w:numPr>
          <w:ilvl w:val="0"/>
          <w:numId w:val="1001"/>
        </w:numPr>
        <w:pStyle w:val="Compact"/>
      </w:pPr>
      <w:r>
        <w:t xml:space="preserve">Colegio Colombiano de Contadores. (2019). Código de Ética Profesional para Contadores Públicos y Auditores.</w:t>
      </w:r>
    </w:p>
    <w:p>
      <w:pPr>
        <w:numPr>
          <w:ilvl w:val="0"/>
          <w:numId w:val="1001"/>
        </w:numPr>
        <w:pStyle w:val="Compact"/>
      </w:pPr>
      <w:r>
        <w:t xml:space="preserve">International Federation of Accountants. (2014). Handbook of International Quality Control, Auditing, Review, Other Assurance, and Related Services Pronouncements.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Colombia Bogotá: Challenges, Opportunities, and Strategic Implications</dc:title>
  <dc:creator/>
  <dc:language>en</dc:language>
  <cp:keywords/>
  <dcterms:created xsi:type="dcterms:W3CDTF">2026-07-29T18:22:39Z</dcterms:created>
  <dcterms:modified xsi:type="dcterms:W3CDTF">2026-07-29T18:22:39Z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