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Germany</w:t>
      </w:r>
      <w:r>
        <w:t xml:space="preserve"> </w:t>
      </w:r>
      <w:r>
        <w:t xml:space="preserve">Munich:</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26" w:name="Xd0e1ecd47ad36fcaed2e08f763d363e2f7c42d9"/>
    <w:p>
      <w:pPr>
        <w:pStyle w:val="Heading1"/>
      </w:pPr>
      <w:r>
        <w:t xml:space="preserve">The Evolving Role of the Auditor in Germany Munich</w:t>
      </w:r>
      <w:r>
        <w:br/>
      </w:r>
    </w:p>
    <w:bookmarkStart w:id="25" w:name="Xc79be56a6ccb6e5fc6ca18067590269477d119e"/>
    <w:p>
      <w:pPr>
        <w:pStyle w:val="Heading3"/>
      </w:pPr>
      <w:r>
        <w:t xml:space="preserve">Navigating Regulatory Complexity and Digital Transformation</w:t>
      </w:r>
    </w:p>
    <w:p>
      <w:pPr>
        <w:pStyle w:val="FirstParagraph"/>
      </w:pPr>
      <w:r>
        <w:br/>
      </w:r>
      <w:r>
        <w:br/>
      </w:r>
      <w:r>
        <w:br/>
      </w:r>
    </w:p>
    <w:p>
      <w:pPr>
        <w:pStyle w:val="BodyText"/>
      </w:pPr>
      <w:r>
        <w:rPr>
          <w:bCs/>
          <w:b/>
        </w:rPr>
        <w:t xml:space="preserve">AUDIENCE:</w:t>
      </w:r>
      <w:r>
        <w:t xml:space="preserve">Budgetary Conference for Economic Transparency.</w:t>
      </w:r>
      <w:r>
        <w:br/>
      </w:r>
      <w:r>
        <w:rPr>
          <w:bCs/>
          <w:b/>
        </w:rPr>
        <w:t xml:space="preserve">PUBLICATION:</w:t>
      </w:r>
      <w:r>
        <w:t xml:space="preserve"> </w:t>
      </w:r>
      <w:r>
        <w:t xml:space="preserve">Munich Proceedings of Auditing Practice.</w:t>
      </w:r>
    </w:p>
    <w:p>
      <w:r>
        <w:pict>
          <v:rect style="width:0;height:1.5pt" o:hralign="center" o:hrstd="t" o:hr="t"/>
        </w:pict>
      </w:r>
    </w:p>
    <w:bookmarkStart w:id="20" w:name="i.-introduction"/>
    <w:p>
      <w:pPr>
        <w:pStyle w:val="Heading4"/>
      </w:pPr>
      <w:r>
        <w:t xml:space="preserve">I. Introduction</w:t>
      </w:r>
    </w:p>
    <w:p>
      <w:pPr>
        <w:pStyle w:val="FirstParagraph"/>
      </w:pPr>
      <w:r>
        <w:t xml:space="preserve">The modern auditing landscape is undergoing a seismic shift, driven by technological advancements, evolving stakeholder expectations, and an increasingly stringent regulatory environment. Within this global context, the city of Munich has emerged as a critical hub for corporate governance and financial oversight in Central Europe. As the economic capital of Bavaria and home to major industrial conglomerates such as Siemens AG, Allianz SE (formerly), BMW Group (headquartered in nearby Munich area), and numerous Mittelstand leaders,</w:t>
      </w:r>
      <w:r>
        <w:t xml:space="preserve"> </w:t>
      </w:r>
      <w:r>
        <w:rPr>
          <w:bCs/>
          <w:b/>
        </w:rPr>
        <w:t xml:space="preserve">Auditor</w:t>
      </w:r>
      <w:r>
        <w:t xml:space="preserve"> </w:t>
      </w:r>
      <w:r>
        <w:t xml:space="preserve">practices in this region must adapt to meet the unique challenges posed by a highly specialized, innovation-driven economy. This paper explores the multifaceted role of the</w:t>
      </w:r>
      <w:r>
        <w:t xml:space="preserve"> </w:t>
      </w:r>
      <w:r>
        <w:rPr>
          <w:bCs/>
          <w:b/>
        </w:rPr>
        <w:t xml:space="preserve">Auditor</w:t>
      </w:r>
      <w:r>
        <w:t xml:space="preserve">, analyzing how traditional methodologies intersect with emerging regulatory frameworks and digital imperatives within the specific context of</w:t>
      </w:r>
      <w:r>
        <w:t xml:space="preserve"> </w:t>
      </w:r>
      <w:r>
        <w:rPr>
          <w:bCs/>
          <w:b/>
        </w:rPr>
        <w:t xml:space="preserve">Germany Munich</w:t>
      </w:r>
      <w:r>
        <w:t xml:space="preserve">.</w:t>
      </w:r>
    </w:p>
    <w:p>
      <w:pPr>
        <w:pStyle w:val="BodyText"/>
      </w:pPr>
      <w:r>
        <w:t xml:space="preserve">The transition from mere compliance checking to strategic value creation is particularly pronounced in this city. As a global financial center, Munich attracts significant foreign direct investment (FDI), meaning auditors operating here must possess not only technical accounting expertise but also a nuanced understanding of international reporting standards and local cultural business practices. This document aims to provide insight into how the professional duties of the</w:t>
      </w:r>
      <w:r>
        <w:t xml:space="preserve"> </w:t>
      </w:r>
      <w:r>
        <w:rPr>
          <w:bCs/>
          <w:b/>
        </w:rPr>
        <w:t xml:space="preserve">Auditor</w:t>
      </w:r>
      <w:r>
        <w:t xml:space="preserve"> </w:t>
      </w:r>
      <w:r>
        <w:t xml:space="preserve">have expanded beyond statutory requirements to include risk management, sustainability reporting, and operational advisory services.</w:t>
      </w:r>
    </w:p>
    <w:p>
      <w:r>
        <w:pict>
          <v:rect style="width:0;height:1.5pt" o:hralign="center" o:hrstd="t" o:hr="t"/>
        </w:pict>
      </w:r>
    </w:p>
    <w:bookmarkEnd w:id="20"/>
    <w:bookmarkStart w:id="21" w:name="X2bfe2003ec987557e5788e598dfa4632c2cbb48"/>
    <w:p>
      <w:pPr>
        <w:pStyle w:val="Heading4"/>
      </w:pPr>
      <w:r>
        <w:t xml:space="preserve">II. The Regulatory Landscape in Germany Munich</w:t>
      </w:r>
    </w:p>
    <w:p>
      <w:pPr>
        <w:pStyle w:val="FirstParagraph"/>
      </w:pPr>
      <w:r>
        <w:t xml:space="preserve">To fully appreciate the current challenges facing an</w:t>
      </w:r>
      <w:r>
        <w:t xml:space="preserve"> </w:t>
      </w:r>
      <w:r>
        <w:rPr>
          <w:bCs/>
          <w:b/>
        </w:rPr>
        <w:t xml:space="preserve">Auditor</w:t>
      </w:r>
      <w:r>
        <w:t xml:space="preserve">, one must first understand the complex regulatory framework governing financial reporting and auditing standards in</w:t>
      </w:r>
      <w:r>
        <w:t xml:space="preserve"> </w:t>
      </w:r>
      <w:r>
        <w:rPr>
          <w:bCs/>
          <w:b/>
        </w:rPr>
        <w:t xml:space="preserve">Germany Munich</w:t>
      </w:r>
      <w:r>
        <w:t xml:space="preserve">. Historically, German accounting has been characterized by a conservative approach heavily influenced by the Commercial Code (Handelsgesetzbuch - HGB). However, in recent years, there has been significant pressure to align with International Financial Reporting Standards (IFRS), particularly among large multinational corporations headquartered in</w:t>
      </w:r>
      <w:r>
        <w:t xml:space="preserve"> </w:t>
      </w:r>
      <w:r>
        <w:rPr>
          <w:bCs/>
          <w:b/>
        </w:rPr>
        <w:t xml:space="preserve">Germany Munich</w:t>
      </w:r>
      <w:r>
        <w:t xml:space="preserve">.</w:t>
      </w:r>
    </w:p>
    <w:p>
      <w:pPr>
        <w:pStyle w:val="BodyText"/>
      </w:pPr>
      <w:r>
        <w:t xml:space="preserve">The introduction of new EU directives regarding non-financial reporting and the Corporate Sustainability Reporting Directive (CSRD) has added another layer of complexity. Auditors operating in this jurisdiction are no longer solely focused on historical financial data; they must now evaluate forward-looking sustainability metrics, carbon emissions, and social governance factors. For an</w:t>
      </w:r>
      <w:r>
        <w:t xml:space="preserve"> </w:t>
      </w:r>
      <w:r>
        <w:rPr>
          <w:bCs/>
          <w:b/>
        </w:rPr>
        <w:t xml:space="preserve">Auditor</w:t>
      </w:r>
      <w:r>
        <w:t xml:space="preserve"> </w:t>
      </w:r>
      <w:r>
        <w:t xml:space="preserve">based in Munich, mastering these dual requirements—strict local compliance under German law alongside international best practices—is crucial for maintaining professional credibility.</w:t>
      </w:r>
    </w:p>
    <w:p>
      <w:pPr>
        <w:pStyle w:val="BodyText"/>
      </w:pPr>
      <w:r>
        <w:t xml:space="preserve">Furthermore, the implementation of the Corporate Integrity Act (Konzernintegritätsrecht) and recent reforms to audit firm independence rules have raised the bar for ethical standards. Auditors must now conduct more rigorous conflict-of-interest checks and adhere to stricter rotation policies. This regulatory tightening ensures that while operating in a highly competitive market like</w:t>
      </w:r>
      <w:r>
        <w:t xml:space="preserve"> </w:t>
      </w:r>
      <w:r>
        <w:rPr>
          <w:bCs/>
          <w:b/>
        </w:rPr>
        <w:t xml:space="preserve">Germany Munich</w:t>
      </w:r>
      <w:r>
        <w:t xml:space="preserve">, the profession maintains its integrity, serving as a trust anchor for investors and stakeholders alike.</w:t>
      </w:r>
    </w:p>
    <w:p>
      <w:r>
        <w:pict>
          <v:rect style="width:0;height:1.5pt" o:hralign="center" o:hrstd="t" o:hr="t"/>
        </w:pict>
      </w:r>
    </w:p>
    <w:bookmarkEnd w:id="21"/>
    <w:bookmarkStart w:id="22" w:name="Xad51af9c69fae8d037a69fb9e70edba5525938c"/>
    <w:p>
      <w:pPr>
        <w:pStyle w:val="Heading4"/>
      </w:pPr>
      <w:r>
        <w:t xml:space="preserve">III. Digital Transformation and Technological Integration</w:t>
      </w:r>
    </w:p>
    <w:p>
      <w:pPr>
        <w:pStyle w:val="FirstParagraph"/>
      </w:pPr>
      <w:r>
        <w:t xml:space="preserve">A defining characteristic of contemporary auditing practices in</w:t>
      </w:r>
      <w:r>
        <w:t xml:space="preserve"> </w:t>
      </w:r>
      <w:r>
        <w:rPr>
          <w:bCs/>
          <w:b/>
        </w:rPr>
        <w:t xml:space="preserve">Germany Munich</w:t>
      </w:r>
      <w:r>
        <w:t xml:space="preserve"> </w:t>
      </w:r>
      <w:r>
        <w:t xml:space="preserve">is the rapid integration of digital tools. The rise of Industry 4.0, a concept heavily promoted by Bavarian government policy, has led manufacturing firms to adopt advanced IoT (Internet of Things) systems and automated production lines. Consequently, the role of an</w:t>
      </w:r>
      <w:r>
        <w:t xml:space="preserve"> </w:t>
      </w:r>
      <w:r>
        <w:rPr>
          <w:bCs/>
          <w:b/>
        </w:rPr>
        <w:t xml:space="preserve">Auditor</w:t>
      </w:r>
      <w:r>
        <w:t xml:space="preserve"> </w:t>
      </w:r>
      <w:r>
        <w:t xml:space="preserve">has expanded to include IT audit capabilities.</w:t>
      </w:r>
    </w:p>
    <w:p>
      <w:pPr>
        <w:pStyle w:val="BodyText"/>
      </w:pPr>
      <w:r>
        <w:t xml:space="preserve">Data analytics is no longer optional; it is essential. Auditors are utilizing machine learning algorithms to analyze entire datasets rather than relying on statistical sampling, enabling the detection of anomalies and potential fraud with unprecedented accuracy. In the context of</w:t>
      </w:r>
      <w:r>
        <w:t xml:space="preserve"> </w:t>
      </w:r>
      <w:r>
        <w:rPr>
          <w:bCs/>
          <w:b/>
        </w:rPr>
        <w:t xml:space="preserve">Germany Munich</w:t>
      </w:r>
      <w:r>
        <w:t xml:space="preserve">, where data privacy laws such as GDPR (General Data Protection Regulation) are strictly enforced, auditors must also ensure that digital transformation initiatives comply with stringent privacy protocols.</w:t>
      </w:r>
    </w:p>
    <w:p>
      <w:pPr>
        <w:pStyle w:val="BodyText"/>
      </w:pPr>
      <w:r>
        <w:t xml:space="preserve">The use of blockchain technology for supply chain transparency is another area gaining traction in the region. An effective</w:t>
      </w:r>
      <w:r>
        <w:t xml:space="preserve"> </w:t>
      </w:r>
      <w:r>
        <w:rPr>
          <w:bCs/>
          <w:b/>
        </w:rPr>
        <w:t xml:space="preserve">Auditor</w:t>
      </w:r>
      <w:r>
        <w:t xml:space="preserve"> </w:t>
      </w:r>
      <w:r>
        <w:t xml:space="preserve">today must possess enough technical literacy to assess smart contracts and distributed ledger technologies. This shift requires continuous professional development, forcing auditing firms to invest heavily in training programs that bridge the gap between traditional accounting skills and modern IT proficiency.</w:t>
      </w:r>
    </w:p>
    <w:p>
      <w:r>
        <w:pict>
          <v:rect style="width:0;height:1.5pt" o:hralign="center" o:hrstd="t" o:hr="t"/>
        </w:pict>
      </w:r>
    </w:p>
    <w:bookmarkEnd w:id="22"/>
    <w:bookmarkStart w:id="23" w:name="X03742e1af76dda4621ebd9b2c2cd01487bc6af8"/>
    <w:p>
      <w:pPr>
        <w:pStyle w:val="Heading4"/>
      </w:pPr>
      <w:r>
        <w:t xml:space="preserve">IV. Sustainability Reporting as a Core Competency</w:t>
      </w:r>
    </w:p>
    <w:p>
      <w:pPr>
        <w:pStyle w:val="FirstParagraph"/>
      </w:pPr>
      <w:r>
        <w:t xml:space="preserve">In</w:t>
      </w:r>
      <w:r>
        <w:t xml:space="preserve"> </w:t>
      </w:r>
      <w:r>
        <w:rPr>
          <w:bCs/>
          <w:b/>
        </w:rPr>
        <w:t xml:space="preserve">Germany Munich</w:t>
      </w:r>
      <w:r>
        <w:t xml:space="preserve">, the push for sustainable business practices has moved from corporate social responsibility (CSR) marketing to core strategic planning and rigorous auditing requirements. Stakeholders in this economically powerful region demand greater transparency regarding environmental impact. The</w:t>
      </w:r>
      <w:r>
        <w:t xml:space="preserve"> </w:t>
      </w:r>
      <w:r>
        <w:rPr>
          <w:bCs/>
          <w:b/>
        </w:rPr>
        <w:t xml:space="preserve">Auditor</w:t>
      </w:r>
      <w:r>
        <w:t xml:space="preserve"> </w:t>
      </w:r>
      <w:r>
        <w:t xml:space="preserve">plays a pivotal role in verifying these claims, moving beyond voluntary disclosures to mandatory assurance of non-financial statements.</w:t>
      </w:r>
    </w:p>
    <w:p>
      <w:pPr>
        <w:pStyle w:val="BodyText"/>
      </w:pPr>
      <w:r>
        <w:t xml:space="preserve">This evolution necessitates a multidisciplinary approach. Auditors must collaborate closely with environmental scientists and engineers to validate data related to energy consumption, waste management, and carbon footprints. The credibility of an audit report now depends on its ability to accurately reflect the company’s ESG (Environmental, Social, and Governance) performance. For firms operating in</w:t>
      </w:r>
      <w:r>
        <w:t xml:space="preserve"> </w:t>
      </w:r>
      <w:r>
        <w:rPr>
          <w:bCs/>
          <w:b/>
        </w:rPr>
        <w:t xml:space="preserve">Germany Munich</w:t>
      </w:r>
      <w:r>
        <w:t xml:space="preserve">, providing high-quality sustainability assurance is not merely a regulatory obligation but a competitive advantage that enhances brand reputation among conscious consumers and ethical investors.</w:t>
      </w:r>
    </w:p>
    <w:p>
      <w:r>
        <w:pict>
          <v:rect style="width:0;height:1.5pt" o:hralign="center" o:hrstd="t" o:hr="t"/>
        </w:pict>
      </w:r>
    </w:p>
    <w:bookmarkEnd w:id="23"/>
    <w:bookmarkStart w:id="24" w:name="v.-conclusion"/>
    <w:p>
      <w:pPr>
        <w:pStyle w:val="Heading4"/>
      </w:pPr>
      <w:r>
        <w:t xml:space="preserve">V. Conclusion</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Germany Munich</w:t>
      </w:r>
      <w:r>
        <w:t xml:space="preserve"> </w:t>
      </w:r>
      <w:r>
        <w:t xml:space="preserve">has fundamentally transformed from a traditional gatekeeper of financial accuracy to a dynamic advisor on risk, compliance, and sustainable growth. Navigating the intricate web of local regulations alongside international standards demands high levels of expertise and adaptability. Embracing digital technologies such as data analytics and blockchain is essential for meeting efficiency goals without compromising quality.</w:t>
      </w:r>
    </w:p>
    <w:p>
      <w:pPr>
        <w:pStyle w:val="BodyText"/>
      </w:pPr>
      <w:r>
        <w:t xml:space="preserve">As we look toward the future, it is evident that auditing will continue to evolve in response to technological advancements and societal expectations. For professionals operating within this vibrant economic hub of</w:t>
      </w:r>
      <w:r>
        <w:t xml:space="preserve"> </w:t>
      </w:r>
      <w:r>
        <w:rPr>
          <w:bCs/>
          <w:b/>
        </w:rPr>
        <w:t xml:space="preserve">Germany Munich</w:t>
      </w:r>
      <w:r>
        <w:t xml:space="preserve">, staying ahead of these trends means committing to lifelong learning and maintaining the highest ethical standards. Only through such dedication can auditors fulfill their vital function as guardians of financial integrity, facilitating trust and transparency in a rapidly changing global marketplace.</w:t>
      </w:r>
    </w:p>
    <w:p>
      <w:pPr>
        <w:pStyle w:val="BodyText"/>
      </w:pPr>
      <w:r>
        <w:t xml:space="preserve">The synthesis of traditional rigor with modern innovation ensures that auditing remains relevant, robust, and indispensable in shaping the future of business practices across this region.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Germany Munich: Navigating Regulatory Complexity and Digital Transformation</dc:title>
  <dc:creator/>
  <dc:language>en</dc:language>
  <cp:keywords/>
  <dcterms:created xsi:type="dcterms:W3CDTF">2026-07-29T06:50:11Z</dcterms:created>
  <dcterms:modified xsi:type="dcterms:W3CDTF">2026-07-29T06:50:11Z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