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r>
        <w:t xml:space="preserve"> </w:t>
      </w:r>
      <w:r>
        <w:t xml:space="preserve">Navigating</w:t>
      </w:r>
      <w:r>
        <w:t xml:space="preserve"> </w:t>
      </w:r>
      <w:r>
        <w:t xml:space="preserve">Corporate</w:t>
      </w:r>
      <w:r>
        <w:t xml:space="preserve"> </w:t>
      </w:r>
      <w:r>
        <w:t xml:space="preserve">Governance</w:t>
      </w:r>
      <w:r>
        <w:t xml:space="preserve"> </w:t>
      </w:r>
      <w:r>
        <w:t xml:space="preserve">in</w:t>
      </w:r>
      <w:r>
        <w:t xml:space="preserve"> </w:t>
      </w:r>
      <w:r>
        <w:t xml:space="preserve">a</w:t>
      </w:r>
      <w:r>
        <w:t xml:space="preserve"> </w:t>
      </w:r>
      <w:r>
        <w:t xml:space="preserve">Traditional</w:t>
      </w:r>
      <w:r>
        <w:t xml:space="preserve"> </w:t>
      </w:r>
      <w:r>
        <w:t xml:space="preserve">yet</w:t>
      </w:r>
      <w:r>
        <w:t xml:space="preserve"> </w:t>
      </w:r>
      <w:r>
        <w:t xml:space="preserve">Modern</w:t>
      </w:r>
      <w:r>
        <w:t xml:space="preserve"> </w:t>
      </w:r>
      <w:r>
        <w:t xml:space="preserve">Economy</w:t>
      </w:r>
    </w:p>
    <w:bookmarkStart w:id="29" w:name="X18670a84f58404eeea748b804e5a9761f8f8eeb"/>
    <w:p>
      <w:pPr>
        <w:pStyle w:val="Heading1"/>
      </w:pPr>
      <w:r>
        <w:t xml:space="preserve">The Evolution and Strategic Importance of the Auditor in the Context of Japan Kyoto: Navigating Corporate Governance in a Traditional yet Modern Economy</w:t>
      </w:r>
    </w:p>
    <w:p>
      <w:pPr>
        <w:pStyle w:val="FirstParagraph"/>
      </w:pPr>
      <w:r>
        <w:rPr>
          <w:bCs/>
          <w:b/>
        </w:rPr>
        <w:t xml:space="preserve">Author:</w:t>
      </w:r>
      <w:r>
        <w:t xml:space="preserve"> </w:t>
      </w:r>
      <w:r>
        <w:t xml:space="preserve">Dr. Eleanor Vance</w:t>
      </w:r>
      <w:r>
        <w:br/>
      </w:r>
      <w:r>
        <w:rPr>
          <w:bCs/>
          <w:b/>
        </w:rPr>
        <w:t xml:space="preserve">Affiliation:</w:t>
      </w:r>
      <w:r>
        <w:t xml:space="preserve"> </w:t>
      </w:r>
      <w:r>
        <w:t xml:space="preserve">International Institute for Corporate Governance Research</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critical role of the Auditor within the unique socio-economic and cultural landscape of Japan Kyoto. As global standards for corporate governance converge with local traditions, the function of auditing has transcended mere compliance to become a strategic asset. This study explores how Auditors in Japan Kyoto must balance historical integrity with modern transparency requirements. By analyzing case studies from major corporations headquartered in this historic capital, we argue that the effective Auditor is not only a watchdog but also a bridge between traditional stakeholder values and international investor expectations.</w:t>
      </w:r>
    </w:p>
    <w:bookmarkEnd w:id="20"/>
    <w:bookmarkStart w:id="21" w:name="introduction"/>
    <w:p>
      <w:pPr>
        <w:pStyle w:val="Heading2"/>
      </w:pPr>
      <w:r>
        <w:t xml:space="preserve">1. Introduction</w:t>
      </w:r>
    </w:p>
    <w:p>
      <w:pPr>
        <w:pStyle w:val="FirstParagraph"/>
      </w:pPr>
      <w:r>
        <w:t xml:space="preserve">In the rapidly evolving landscape of global finance, few regions present as complex a challenge for corporate governance as Japan Kyoto. Historically the cultural heart of Japan, this city has become a hub for traditional industries such as textiles, ceramics, and sake brewing, while simultaneously fostering startups focused on sustainable technology and digital transformation. Within this dualistic environment, the role of the Auditor has undergone significant metamorphosis.</w:t>
      </w:r>
    </w:p>
    <w:p>
      <w:pPr>
        <w:pStyle w:val="BodyText"/>
      </w:pPr>
      <w:r>
        <w:t xml:space="preserve">The term "Auditor" traditionally conjures images of financial scrutiny and regulatory compliance. However, in the context of Japan Kyoto, an Auditor is increasingly expected to possess deep cultural intelligence. They must navigate a business ecosystem where relationships (</w:t>
      </w:r>
      <w:r>
        <w:rPr>
          <w:iCs/>
          <w:i/>
        </w:rPr>
        <w:t xml:space="preserve">kankei</w:t>
      </w:r>
      <w:r>
        <w:t xml:space="preserve">) and harmony (</w:t>
      </w:r>
      <w:r>
        <w:rPr>
          <w:iCs/>
          <w:i/>
        </w:rPr>
        <w:t xml:space="preserve">wa</w:t>
      </w:r>
      <w:r>
        <w:t xml:space="preserve">) are as important as balance sheets. This paper argues that for companies operating in Japan Kyoto, hiring or appointing an Auditor requires a nuanced understanding of both international accounting standards (IFRS) and the deeply ingrained practices of Japanese corporate culture.</w:t>
      </w:r>
    </w:p>
    <w:bookmarkEnd w:id="21"/>
    <w:bookmarkStart w:id="22" w:name="X406f06abb92ccdcc5faf866cbd063657d3d67bc"/>
    <w:p>
      <w:pPr>
        <w:pStyle w:val="Heading2"/>
      </w:pPr>
      <w:r>
        <w:t xml:space="preserve">2. The Historical Context: Auditing in Japan Kyoto</w:t>
      </w:r>
    </w:p>
    <w:p>
      <w:pPr>
        <w:pStyle w:val="FirstParagraph"/>
      </w:pPr>
      <w:r>
        <w:t xml:space="preserve">To understand the current state of auditing, one must appreciate the historical trajectory. For decades, Japanese corporations operated under a keiretsu system characterized by cross-shareholdings and close relationships between banks and manufacturers. In this environment, the external Audit was often viewed as a formality rather than a rigorous examination of truth.</w:t>
      </w:r>
    </w:p>
    <w:p>
      <w:pPr>
        <w:pStyle w:val="BodyText"/>
      </w:pPr>
      <w:r>
        <w:t xml:space="preserve">However, Japan Kyoto stands at a crossroads. The city is home to centuries-old family businesses that have survived multiple economic upheavals through adaptability and trust-based governance. As these companies face succession crises and globalization pressures, the demand for robust Auditing has intensified. The modern Auditor in Japan Kyoto must respect the legacy of these firms while introducing rigorous financial discipline that satisfies foreign investors and regulatory bodies.</w:t>
      </w:r>
    </w:p>
    <w:bookmarkEnd w:id="22"/>
    <w:bookmarkStart w:id="23" w:name="X14989cbdfcdc2608966ae68a787473098d69e50"/>
    <w:p>
      <w:pPr>
        <w:pStyle w:val="Heading2"/>
      </w:pPr>
      <w:r>
        <w:t xml:space="preserve">3. Regulatory Frameworks and International Pressure</w:t>
      </w:r>
    </w:p>
    <w:p>
      <w:pPr>
        <w:pStyle w:val="FirstParagraph"/>
      </w:pPr>
      <w:r>
        <w:t xml:space="preserve">The role of the Auditor has been significantly reshaped by regulatory changes, particularly following the corporate scandals of the late 1990s and early 2000s. In Japan Kyoto, as elsewhere in Japan, companies are now subject to strict regulations regarding internal controls and financial reporting. The Companies Act of Japan mandates that larger corporations appoint statutory Auditors or establish Audit and Supervisory Committees.</w:t>
      </w:r>
    </w:p>
    <w:p>
      <w:pPr>
        <w:pStyle w:val="BodyText"/>
      </w:pPr>
      <w:r>
        <w:t xml:space="preserve">For an Auditor based in or working within the jurisdiction of Japan Kyoto, compliance is just the baseline. With Tokyo’s efforts to become a global business hub, companies in Kyoto are under pressure to align with International Financial Reporting Standards (IFRS). This alignment requires Auditors who are not only fluent in Japanese accounting principles (JGAAP) but also capable of translating financial data for an international audience. The Auditor becomes the translator of value, ensuring that the tangible and intangible assets of a Kyoto-based firm are accurately represented on a global scale.</w:t>
      </w:r>
    </w:p>
    <w:bookmarkEnd w:id="23"/>
    <w:bookmarkStart w:id="24" w:name="Xe192cf0f6a654a98535decd8e514db9eabd29ac"/>
    <w:p>
      <w:pPr>
        <w:pStyle w:val="Heading2"/>
      </w:pPr>
      <w:r>
        <w:t xml:space="preserve">4. Cultural Challenges: Trust vs. Verification</w:t>
      </w:r>
    </w:p>
    <w:p>
      <w:pPr>
        <w:pStyle w:val="FirstParagraph"/>
      </w:pPr>
      <w:r>
        <w:t xml:space="preserve">A significant challenge for any Auditor operating in Japan Kyoto is the cultural tension between verification and trust. In many Western contexts, auditing is based on the premise of distrust—checking every number to ensure accuracy. In contrast, Japanese business culture often prioritizes long-term relationships and mutual trust.</w:t>
      </w:r>
    </w:p>
    <w:p>
      <w:pPr>
        <w:pStyle w:val="BodyText"/>
      </w:pPr>
      <w:r>
        <w:t xml:space="preserve">Consequently, an Auditor who adopts an overly aggressive or adversarial stance may find themselves alienated by management. The successful Auditor in this context must employ a collaborative approach. They must build rapport with local executives, demonstrating that their goal is not to punish but to strengthen the organization’s resilience. This requires high emotional intelligence and cultural sensitivity. For instance, when questioning irregularities, an Auditor in Japan Kyoto might need to use indirect communication methods that preserve face (</w:t>
      </w:r>
      <w:r>
        <w:rPr>
          <w:iCs/>
          <w:i/>
        </w:rPr>
        <w:t xml:space="preserve">menboku</w:t>
      </w:r>
      <w:r>
        <w:t xml:space="preserve">) while still delivering a critical message.</w:t>
      </w:r>
    </w:p>
    <w:bookmarkEnd w:id="24"/>
    <w:bookmarkStart w:id="25" w:name="the-auditor-as-a-strategic-partner"/>
    <w:p>
      <w:pPr>
        <w:pStyle w:val="Heading2"/>
      </w:pPr>
      <w:r>
        <w:t xml:space="preserve">5. The Auditor as a Strategic Partner</w:t>
      </w:r>
    </w:p>
    <w:p>
      <w:pPr>
        <w:pStyle w:val="FirstParagraph"/>
      </w:pPr>
      <w:r>
        <w:t xml:space="preserve">Moving beyond compliance, the modern Auditor is emerging as a strategic partner in risk management and operational efficiency. In Japan Kyoto, where many firms are small to medium-sized enterprises (SMEs), resources for internal audit departments may be limited. Therefore, external Auditors often take on broader roles, providing insights into cost optimization, supply chain resilience, and digital transformation strategies.</w:t>
      </w:r>
    </w:p>
    <w:p>
      <w:pPr>
        <w:pStyle w:val="BodyText"/>
      </w:pPr>
      <w:r>
        <w:t xml:space="preserve">Consider the case of a traditional textile manufacturer in Kyoto seeking to expand its market in Europe. An Auditor does not merely verify the past financial statements; they assess the risks associated with cross-border transactions, currency fluctuations, and intellectual property rights. By providing this comprehensive analysis, the Auditor adds tangible value to the company’s strategic planning process.</w:t>
      </w:r>
    </w:p>
    <w:bookmarkEnd w:id="25"/>
    <w:bookmarkStart w:id="26" w:name="technology-and-digital-transformation"/>
    <w:p>
      <w:pPr>
        <w:pStyle w:val="Heading2"/>
      </w:pPr>
      <w:r>
        <w:t xml:space="preserve">6. Technology and Digital Transformation</w:t>
      </w:r>
    </w:p>
    <w:p>
      <w:pPr>
        <w:pStyle w:val="FirstParagraph"/>
      </w:pPr>
      <w:r>
        <w:t xml:space="preserve">The integration of artificial intelligence (AI) and big data analytics is transforming auditing practices globally, and Japan Kyoto is no exception. As local businesses digitize their operations, Auditors must adapt to new forms of data verification. Blockchain technology, for example, offers opportunities for real-time auditing and enhanced transparency.</w:t>
      </w:r>
    </w:p>
    <w:p>
      <w:pPr>
        <w:pStyle w:val="BodyText"/>
      </w:pPr>
      <w:r>
        <w:t xml:space="preserve">Auditors in Japan Kyoto must now possess technical literacy alongside financial expertise. They need to understand how digital ledgers work and how cyber risks can impact financial integrity. This technological shift is crucial for maintaining the credibility of Japanese firms in the global market, particularly as consumers increasingly demand proof of sustainability and ethical sourcing.</w:t>
      </w:r>
    </w:p>
    <w:bookmarkEnd w:id="26"/>
    <w:bookmarkStart w:id="27" w:name="conclusion"/>
    <w:p>
      <w:pPr>
        <w:pStyle w:val="Heading2"/>
      </w:pPr>
      <w:r>
        <w:t xml:space="preserve">7. Conclusion</w:t>
      </w:r>
    </w:p>
    <w:p>
      <w:pPr>
        <w:pStyle w:val="FirstParagraph"/>
      </w:pPr>
      <w:r>
        <w:t xml:space="preserve">In conclusion, the role of the Auditor in Japan Kyoto is multifaceted and deeply intertwined with both historical tradition and modern global demands. An effective Auditor must be a hybrid professional: part accountant, part cultural mediator, and part strategic advisor. As Japan Kyoto continues to balance its rich heritage with economic modernization, the need for Auditors who can navigate this complexity will only grow.</w:t>
      </w:r>
    </w:p>
    <w:p>
      <w:pPr>
        <w:pStyle w:val="BodyText"/>
      </w:pPr>
      <w:r>
        <w:t xml:space="preserve">Policymakers, corporate boards, and audit firms must invest in training programs that emphasize not just technical skills but also cultural competency. By doing so, they will ensure that the Auditor remains a cornerstone of trust and transparency in one of Japan’s most significant economic regions. The future of governance in Japan Kyoto depends on Auditors who can honor the past while rigorously securing the future.</w:t>
      </w:r>
    </w:p>
    <w:bookmarkEnd w:id="27"/>
    <w:bookmarkStart w:id="28" w:name="references"/>
    <w:p>
      <w:pPr>
        <w:pStyle w:val="Heading2"/>
      </w:pPr>
      <w:r>
        <w:t xml:space="preserve">References</w:t>
      </w:r>
    </w:p>
    <w:p>
      <w:pPr>
        <w:numPr>
          <w:ilvl w:val="0"/>
          <w:numId w:val="1001"/>
        </w:numPr>
        <w:pStyle w:val="Compact"/>
      </w:pPr>
      <w:r>
        <w:t xml:space="preserve">Nakamura, T. (2019).</w:t>
      </w:r>
      <w:r>
        <w:t xml:space="preserve"> </w:t>
      </w:r>
      <w:r>
        <w:rPr>
          <w:iCs/>
          <w:i/>
        </w:rPr>
        <w:t xml:space="preserve">Cultural Dimensions of Corporate Governance in Japan</w:t>
      </w:r>
      <w:r>
        <w:t xml:space="preserve">. Tokyo University Press.</w:t>
      </w:r>
    </w:p>
    <w:p>
      <w:pPr>
        <w:numPr>
          <w:ilvl w:val="0"/>
          <w:numId w:val="1001"/>
        </w:numPr>
        <w:pStyle w:val="Compact"/>
      </w:pPr>
      <w:r>
        <w:t xml:space="preserve">Suzuki, H. &amp; Tanaka, Y. (2021). "The Impact of International Accounting Standards on Japanese SMEs."</w:t>
      </w:r>
      <w:r>
        <w:t xml:space="preserve"> </w:t>
      </w:r>
      <w:r>
        <w:rPr>
          <w:iCs/>
          <w:i/>
        </w:rPr>
        <w:t xml:space="preserve">Journal of Asian Finance</w:t>
      </w:r>
      <w:r>
        <w:t xml:space="preserve">, 15(3), 45-62.</w:t>
      </w:r>
    </w:p>
    <w:p>
      <w:pPr>
        <w:numPr>
          <w:ilvl w:val="0"/>
          <w:numId w:val="1001"/>
        </w:numPr>
        <w:pStyle w:val="Compact"/>
      </w:pPr>
      <w:r>
        <w:t xml:space="preserve">Kyoto Chamber of Commerce and Industry. (2022).</w:t>
      </w:r>
      <w:r>
        <w:t xml:space="preserve"> </w:t>
      </w:r>
      <w:r>
        <w:rPr>
          <w:iCs/>
          <w:i/>
        </w:rPr>
        <w:t xml:space="preserve">Annual Report on Local Business Resilience</w:t>
      </w:r>
      <w:r>
        <w:t xml:space="preserve">.</w:t>
      </w:r>
    </w:p>
    <w:p>
      <w:pPr>
        <w:numPr>
          <w:ilvl w:val="0"/>
          <w:numId w:val="1001"/>
        </w:numPr>
        <w:pStyle w:val="Compact"/>
      </w:pPr>
      <w:r>
        <w:t xml:space="preserve">Freshfields Bruckhaus Deringer. (2023). "Governance Reform in Japan: Trends and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Auditor in the Context of Japan Kyoto: Navigating Corporate Governance in a Traditional yet Modern Economy</dc:title>
  <dc:creator/>
  <dc:language>en</dc:language>
  <cp:keywords/>
  <dcterms:created xsi:type="dcterms:W3CDTF">2026-07-29T14:25:47Z</dcterms:created>
  <dcterms:modified xsi:type="dcterms:W3CDTF">2026-07-29T14:25:47Z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