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28" w:name="X3ad0765aab99406abe6f9340ff8b1f09c1a4f85"/>
    <w:p>
      <w:pPr>
        <w:pStyle w:val="Heading1"/>
      </w:pPr>
      <w:r>
        <w:t xml:space="preserve">The Evolving Role of the Auditor in Malaysia Kuala Lumpur: Navigating Regulatory Complexity and Technological Disruption</w:t>
      </w:r>
    </w:p>
    <w:p>
      <w:pPr>
        <w:pStyle w:val="FirstParagraph"/>
      </w:pPr>
      <w:r>
        <w:rPr>
          <w:bCs/>
          <w:b/>
        </w:rPr>
        <w:t xml:space="preserve">Presented at the International Conference on Financial Integrity and Governance</w:t>
      </w:r>
      <w:r>
        <w:br/>
      </w:r>
      <w:r>
        <w:rPr>
          <w:bCs/>
          <w:b/>
        </w:rPr>
        <w:t xml:space="preserve">Kuala Lumpur, Malaysia</w:t>
      </w:r>
    </w:p>
    <w:bookmarkStart w:id="20" w:name="abstract"/>
    <w:p>
      <w:pPr>
        <w:pStyle w:val="Heading3"/>
      </w:pPr>
      <w:r>
        <w:t xml:space="preserve">Abstract</w:t>
      </w:r>
    </w:p>
    <w:p>
      <w:pPr>
        <w:pStyle w:val="FirstParagraph"/>
      </w:pPr>
      <w:r>
        <w:t xml:space="preserve">This paper examines the critical transformation of the Auditor profession within the dynamic economic landscape of Malaysia Kuala Lumpur. As a regional financial hub, Kuala Lumpur presents unique challenges and opportunities for auditing firms and independent practitioners. This study analyzes the impact of stringent regulatory frameworks enforced by local authorities, specifically focusing on compliance with Malaysian Financial Reporting Standards (MFRS) and the Companies Act 2016. Furthermore, it explores how digital transformation is reshaping audit methodologies in this metropolitan center. The findings suggest that while Malaysia Kuala Lumpur serves as a beacon for corporate transparency in Southeast Asia, the modern Auditor must evolve from traditional compliance checkers to strategic risk advisors capable of leveraging data analytics and artificial intelligence.</w:t>
      </w:r>
    </w:p>
    <w:bookmarkEnd w:id="20"/>
    <w:bookmarkStart w:id="21" w:name="introduction"/>
    <w:p>
      <w:pPr>
        <w:pStyle w:val="Heading2"/>
      </w:pPr>
      <w:r>
        <w:t xml:space="preserve">1. Introduction</w:t>
      </w:r>
    </w:p>
    <w:p>
      <w:pPr>
        <w:pStyle w:val="FirstParagraph"/>
      </w:pPr>
      <w:r>
        <w:t xml:space="preserve">In the contemporary global economy, the integrity of financial reporting is paramount to maintaining investor confidence and market stability. Nowhere is this more evident than in Malaysia Kuala Lumpur, a thriving hub for international trade, finance, and corporate headquarters in Southeast Asia. The city’s status as a leading financial center necessitates a robust framework of accountability, placing the Auditor at the very center of this ecosystem. The role of the Auditor has historically been viewed through the lens of statutory compliance and historical verification. However, in recent years, this perception has undergone a radical shift.</w:t>
      </w:r>
    </w:p>
    <w:p>
      <w:pPr>
        <w:pStyle w:val="BodyText"/>
      </w:pPr>
      <w:r>
        <w:t xml:space="preserve">Malaysia Kuala Lumpur is characterized by a diverse mix of multinational corporations, local conglomerates, and emerging small-to-medium enterprises (SMEs). This diversity creates a complex audit environment where the Auditor must possess not only technical accounting knowledge but also an understanding of industry-specific risks and geopolitical economic factors. As stakeholders increasingly demand greater transparency, the pressure on the Auditor to deliver high-quality, reliable assurance services has intensified. This paper aims to dissect these pressures, offering insights into how professionals operating in Malaysia Kuala Lumpur are adapting to meet these evolving demands.</w:t>
      </w:r>
    </w:p>
    <w:bookmarkEnd w:id="21"/>
    <w:bookmarkStart w:id="22" w:name="the-regulatory-landscape-in-malaysia"/>
    <w:p>
      <w:pPr>
        <w:pStyle w:val="Heading2"/>
      </w:pPr>
      <w:r>
        <w:t xml:space="preserve">2. The Regulatory Landscape in Malaysia</w:t>
      </w:r>
    </w:p>
    <w:p>
      <w:pPr>
        <w:pStyle w:val="FirstParagraph"/>
      </w:pPr>
      <w:r>
        <w:t xml:space="preserve">The foundation of the auditing profession in this region is built upon a rigorous regulatory framework. For any Auditor practicing within Malaysia, compliance with national standards is not merely a legal obligation but a professional imperative. The primary regulatory bodies governing the profession include the Malaysian Institute of Accountants (MIA) and the Securities Commission (SC). These entities have implemented comprehensive codes of ethics and professional standards that align closely with international benchmarks set by the International Federation of Accountants (IFAC).</w:t>
      </w:r>
    </w:p>
    <w:p>
      <w:pPr>
        <w:pStyle w:val="BodyText"/>
      </w:pPr>
      <w:r>
        <w:t xml:space="preserve">In Malaysia Kuala Lumpur, where corporate governance is closely watched by both local and international investors, adherence to the Companies Act 2016 is critical. This legislation has strengthened the duties of directors and auditors alike, emphasizing accountability and transparency. The Auditor is now required to provide reasonable assurance that financial statements are free from material misstatement, whether due to fraud or error. Furthermore, recent amendments have introduced stricter penalties for non-compliance, thereby raising the stakes for every audit engagement conducted in this city.</w:t>
      </w:r>
    </w:p>
    <w:p>
      <w:pPr>
        <w:pStyle w:val="BodyText"/>
      </w:pPr>
      <w:r>
        <w:t xml:space="preserve">Additionally, the integration of Malaysian Financial Reporting Standards (MFRS), which are converged with International Financial Reporting Standards (IFRS), requires the Auditor to stay abreast of constant updates in accounting principles. This continuous learning curve is particularly challenging in a fast-paced financial center like Malaysia Kuala Lumpur, where transactions can be complex and cross-border in nature.</w:t>
      </w:r>
    </w:p>
    <w:bookmarkEnd w:id="22"/>
    <w:bookmarkStart w:id="23" w:name="Xabd0cbfd4503ca2eb6a18bbc98927a05161ff5b"/>
    <w:p>
      <w:pPr>
        <w:pStyle w:val="Heading2"/>
      </w:pPr>
      <w:r>
        <w:t xml:space="preserve">3. Technological Disruption and Digital Transformation</w:t>
      </w:r>
    </w:p>
    <w:p>
      <w:pPr>
        <w:pStyle w:val="FirstParagraph"/>
      </w:pPr>
      <w:r>
        <w:t xml:space="preserve">No discussion regarding the modern Auditor would be complete without addressing the impact of technology. The advent of Big Data, Artificial Intelligence (AI), Machine Learning (ML), and Robotic Process Automation (RPA) is fundamentally altering how audits are performed in Malaysia Kuala Lumpur. Traditional manual testing methods are increasingly being replaced by continuous auditing and real-time monitoring systems.</w:t>
      </w:r>
    </w:p>
    <w:p>
      <w:pPr>
        <w:pStyle w:val="BodyText"/>
      </w:pPr>
      <w:r>
        <w:t xml:space="preserve">For the Auditor operating in this region, technological proficiency is no longer optional; it is a core competency. Audit firms headquartered in Malaysia Kuala Lumpur are investing heavily in data analytics platforms that allow for 100% population testing rather than reliance on sampling. This shift enables the Auditor to identify anomalies and potential fraud indicators with greater precision and speed.</w:t>
      </w:r>
    </w:p>
    <w:p>
      <w:pPr>
        <w:pStyle w:val="BodyText"/>
      </w:pPr>
      <w:r>
        <w:t xml:space="preserve">Moreover, blockchain technology is beginning to influence audit trails, particularly among major banks and financial institutions located in the Kuala Lumpur Financial District. The immutable nature of blockchain ledgers offers new avenues for verification, requiring the Auditor to develop specialized skills in understanding distributed ledger technologies. As Malaysia Kuala Lumpur pushes forward with its digital economy initiatives under initiatives like MyDIGITAL, the Auditor must adapt by integrating these tools into their standard operating procedures to maintain relevance and efficiency.</w:t>
      </w:r>
    </w:p>
    <w:bookmarkEnd w:id="23"/>
    <w:bookmarkStart w:id="24" w:name="Xe5daca36b02c057f4e86204e96fd0cac487c12d"/>
    <w:p>
      <w:pPr>
        <w:pStyle w:val="Heading2"/>
      </w:pPr>
      <w:r>
        <w:t xml:space="preserve">4. Challenges Facing Auditors in a Developing Market</w:t>
      </w:r>
    </w:p>
    <w:p>
      <w:pPr>
        <w:pStyle w:val="FirstParagraph"/>
      </w:pPr>
      <w:r>
        <w:t xml:space="preserve">Despite the advancements, significant challenges remain for the Auditor in Malaysia Kuala Lumpur. One of the primary concerns is talent retention and skill gaps. The rapid pace of technological change often outstrips the availability of professionals who possess both accounting expertise and technical data skills. Consequently, firms in Malaysia Kuala Lumpur are facing intense competition for skilled personnel.</w:t>
      </w:r>
    </w:p>
    <w:p>
      <w:pPr>
        <w:pStyle w:val="BodyText"/>
      </w:pPr>
      <w:r>
        <w:t xml:space="preserve">Another challenge is client pressure. In a highly competitive business environment, there may be undue pressure from management to soften audit findings or overlook minor discrepancies. The Auditor must maintain strict independence and objectivity, relying on the strong ethical frameworks provided by MIA and international standards. However, navigating these interpersonal dynamics requires significant professional courage and soft skills.</w:t>
      </w:r>
    </w:p>
    <w:p>
      <w:pPr>
        <w:pStyle w:val="BodyText"/>
      </w:pPr>
      <w:r>
        <w:t xml:space="preserve">Fraud detection also remains a persistent hurdle. While technology aids in identification, sophisticated fraud schemes are becoming increasingly complex. The Auditor must employ forensic auditing techniques and maintain a skeptical mindset throughout the engagement process. In Malaysia Kuala Lumpur, where cross-border transactions are common, understanding international money laundering regulations is also crucial for the Auditor to prevent financial crimes.</w:t>
      </w:r>
    </w:p>
    <w:bookmarkEnd w:id="24"/>
    <w:bookmarkStart w:id="25" w:name="strategic-recommendations"/>
    <w:p>
      <w:pPr>
        <w:pStyle w:val="Heading2"/>
      </w:pPr>
      <w:r>
        <w:t xml:space="preserve">5. Strategic Recommendations</w:t>
      </w:r>
    </w:p>
    <w:p>
      <w:pPr>
        <w:pStyle w:val="FirstParagraph"/>
      </w:pPr>
      <w:r>
        <w:t xml:space="preserve">To address these challenges, several strategic recommendations are proposed for stakeholders in Malaysia Kuala Lumpur. Firstly, educational institutions and professional bodies should collaborate to create specialized training modules focused on data analytics and emerging technologies for aspiring Auditors. Secondly, audit firms should invest in upskilling their current workforce, fostering a culture of continuous innovation.</w:t>
      </w:r>
    </w:p>
    <w:p>
      <w:pPr>
        <w:pStyle w:val="BodyText"/>
      </w:pPr>
      <w:r>
        <w:t xml:space="preserve">Furthermore, regulatory bodies in Malaysia Kuala Lumpur could consider introducing standardized guidelines for the use of AI and automation in auditing to ensure consistency and reliability. Finally, enhancing collaboration between public sector regulators and private audit firms can help create a more cohesive approach to corporate governance and risk management.</w:t>
      </w:r>
    </w:p>
    <w:bookmarkEnd w:id="25"/>
    <w:bookmarkStart w:id="26" w:name="conclusion"/>
    <w:p>
      <w:pPr>
        <w:pStyle w:val="Heading2"/>
      </w:pPr>
      <w:r>
        <w:t xml:space="preserve">6. Conclusion</w:t>
      </w:r>
    </w:p>
    <w:p>
      <w:pPr>
        <w:pStyle w:val="FirstParagraph"/>
      </w:pPr>
      <w:r>
        <w:t xml:space="preserve">In conclusion, the role of the Auditor in Malaysia Kuala Lumpur is undergoing a profound transformation driven by regulatory rigor and technological innovation. As the city continues to solidify its position as a premier financial hub in Asia, the demand for high-quality auditing services will only grow. The modern Auditor must be versatile, combining traditional accounting principles with advanced technical skills and ethical fortitude.</w:t>
      </w:r>
    </w:p>
    <w:p>
      <w:pPr>
        <w:pStyle w:val="BodyText"/>
      </w:pPr>
      <w:r>
        <w:t xml:space="preserve">The journey ahead requires collaboration among regulators, practitioners, and educators to ensure that the audit profession remains robust and relevant. By embracing change and leveraging technology, Auditors in Malaysia Kuala Lumpur can not only meet current challenges but also contribute significantly to the economic stability and integrity of the nation. The future of auditing is digital, data-driven, and deeply integrated into the strategic fabric of businesses across Malaysia Kuala Lumpur.</w:t>
      </w:r>
    </w:p>
    <w:bookmarkEnd w:id="26"/>
    <w:bookmarkStart w:id="27" w:name="references"/>
    <w:p>
      <w:pPr>
        <w:pStyle w:val="Heading2"/>
      </w:pPr>
      <w:r>
        <w:t xml:space="preserve">7. References</w:t>
      </w:r>
    </w:p>
    <w:p>
      <w:pPr>
        <w:numPr>
          <w:ilvl w:val="0"/>
          <w:numId w:val="1001"/>
        </w:numPr>
        <w:pStyle w:val="Compact"/>
      </w:pPr>
      <w:r>
        <w:t xml:space="preserve">Malaysian Institute of Accountants (MIA). (2023). *Code of Professional Ethics and Conduct*. Kuala Lumpur: MIA.</w:t>
      </w:r>
    </w:p>
    <w:p>
      <w:pPr>
        <w:numPr>
          <w:ilvl w:val="0"/>
          <w:numId w:val="1001"/>
        </w:numPr>
        <w:pStyle w:val="Compact"/>
      </w:pPr>
      <w:r>
        <w:t xml:space="preserve">Securities Commission Malaysia. (2024). *Corporate Governance Guide for Public Listed Companies*. Kuala Lumpur: SC.</w:t>
      </w:r>
    </w:p>
    <w:p>
      <w:pPr>
        <w:numPr>
          <w:ilvl w:val="0"/>
          <w:numId w:val="1001"/>
        </w:numPr>
        <w:pStyle w:val="Compact"/>
      </w:pPr>
      <w:r>
        <w:t xml:space="preserve">Institute of Chartered Accountants in England and Wales (ICAEW). (2023). *The Future of Auditing in a Digital Economy*. London: ICAEW.</w:t>
      </w:r>
    </w:p>
    <w:p>
      <w:pPr>
        <w:numPr>
          <w:ilvl w:val="0"/>
          <w:numId w:val="1001"/>
        </w:numPr>
        <w:pStyle w:val="Compact"/>
      </w:pPr>
      <w:r>
        <w:t xml:space="preserve">Bank Negara Malaysia. (2024). *Financial Stability Review*. Kuala Lumpur: BNM.</w:t>
      </w:r>
    </w:p>
    <w:p>
      <w:pPr>
        <w:numPr>
          <w:ilvl w:val="0"/>
          <w:numId w:val="1001"/>
        </w:numPr>
        <w:pStyle w:val="Compact"/>
      </w:pPr>
      <w:r>
        <w:t xml:space="preserve">Muhammad, A., &amp; Singh, R. (2023). "Impact of Big Data Analytics on Audit Quality in Southeast Asian Financial Hubs." *Journal of Asian Accounting and Auditing*, 15(2),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Malaysia Kuala Lumpur: Navigating Regulatory Complexity and Technological Disruption</dc:title>
  <dc:creator/>
  <dc:language>en</dc:language>
  <cp:keywords/>
  <dcterms:created xsi:type="dcterms:W3CDTF">2026-07-29T13:26:53Z</dcterms:created>
  <dcterms:modified xsi:type="dcterms:W3CDTF">2026-07-29T13:26:53Z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