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Financial</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p>
    <w:bookmarkStart w:id="29" w:name="X2dc301ba83b6a53a929869046e17c1f9ddec6f7"/>
    <w:p>
      <w:pPr>
        <w:pStyle w:val="Heading1"/>
      </w:pPr>
      <w:r>
        <w:t xml:space="preserve">The Strategic Role of the Auditor in the Financial Landscape of Saudi Arabia Riyadh</w:t>
      </w:r>
    </w:p>
    <w:p>
      <w:pPr>
        <w:pStyle w:val="FirstParagraph"/>
      </w:pPr>
      <w:r>
        <w:rPr>
          <w:bCs/>
          <w:b/>
        </w:rPr>
        <w:t xml:space="preserve">Presented at the International Conference on Governance and Finance in Emerging Markets</w:t>
      </w:r>
    </w:p>
    <w:p>
      <w:pPr>
        <w:pStyle w:val="BodyText"/>
      </w:pPr>
      <w:r>
        <w:t xml:space="preserve">Date: October 2023</w:t>
      </w:r>
      <w:r>
        <w:br/>
      </w:r>
      <w:r>
        <w:t xml:space="preserve">Location: Riyadh, Kingdom of Saudi Arabia</w:t>
      </w:r>
    </w:p>
    <w:bookmarkStart w:id="20" w:name="abstract"/>
    <w:p>
      <w:pPr>
        <w:pStyle w:val="Heading3"/>
      </w:pPr>
      <w:r>
        <w:t xml:space="preserve">Abstract</w:t>
      </w:r>
    </w:p>
    <w:p>
      <w:pPr>
        <w:pStyle w:val="FirstParagraph"/>
      </w:pPr>
      <w:r>
        <w:t xml:space="preserve">This paper examines the evolving role of the Auditor within the rapidly transforming economic ecosystem of Saudi Arabia, with a specific focus on its capital city, Riyadh. As the Kingdom accelerates its Vision 2030 initiatives, the demand for robust financial oversight has never been higher. This study analyzes how internal and external Auditors serve as critical guardians of transparency, compliance with International Financial Reporting Standards (IFRS), and alignment with local regulatory frameworks such those mandated by the Saudi Central Bank (SAMA) and the Capital Market Authority (CMA). Furthermore, it explores the technological integration in auditing practices within Riyadh’s corporate sector and discusses challenges related to talent acquisition and ethical standards. The findings suggest that a proactive, tech-enabled Auditor is not merely a compliance function but a strategic partner essential for sustaining investor confidence in Saudi Arabia Riyadh.</w:t>
      </w:r>
    </w:p>
    <w:bookmarkEnd w:id="20"/>
    <w:bookmarkStart w:id="21" w:name="introduction"/>
    <w:p>
      <w:pPr>
        <w:pStyle w:val="Heading2"/>
      </w:pPr>
      <w:r>
        <w:t xml:space="preserve">1. Introduction</w:t>
      </w:r>
    </w:p>
    <w:p>
      <w:pPr>
        <w:pStyle w:val="FirstParagraph"/>
      </w:pPr>
      <w:r>
        <w:t xml:space="preserve">The Kingdom of Saudi Arabia is currently undergoing one of the most significant economic transformations in modern history. Central to this transformation is Vision 2030, a strategic framework aimed at reducing the country's dependence on oil and diversifying its economy. At the heart of this national pivot lies Riyadh, which serves not only as the political capital but also as the emerging financial and corporate hub of the Middle East. In such a dynamic environment, where new industries are being fostered and foreign direct investment is actively encouraged, trust in financial reporting becomes paramount.</w:t>
      </w:r>
    </w:p>
    <w:p>
      <w:pPr>
        <w:pStyle w:val="BodyText"/>
      </w:pPr>
      <w:r>
        <w:t xml:space="preserve">This paper argues that the Auditor plays a pivotal role in maintaining this trust. The traditional view of an Auditor as a retrospective checker of accounts is obsolete. In the context of Saudi Arabia Riyadh, the modern Auditor must act as a forward-looking advisor, ensuring that organizations navigate complex regulatory landscapes while adopting best practices in corporate governance. This document outlines the specific responsibilities, challenges, and opportunities facing Auditors operating in this vibrant market.</w:t>
      </w:r>
    </w:p>
    <w:bookmarkEnd w:id="21"/>
    <w:bookmarkStart w:id="22" w:name="regulatory-landscape-and-compliance"/>
    <w:p>
      <w:pPr>
        <w:pStyle w:val="Heading2"/>
      </w:pPr>
      <w:r>
        <w:t xml:space="preserve">2. Regulatory Landscape and Compliance</w:t>
      </w:r>
    </w:p>
    <w:p>
      <w:pPr>
        <w:pStyle w:val="FirstParagraph"/>
      </w:pPr>
      <w:r>
        <w:t xml:space="preserve">The primary function of any Auditor is to ensure compliance with relevant laws and accounting standards. In Saudi Arabia Riyadh, this involves a dual-layered approach. First, organizations must adhere to International Financial Reporting Standards (IFRS), which have been adopted by the Saudi Organization for Chartered and Professional Accountants (SOCPA). Second, they must comply with specific directives from regulatory bodies such as the Capital Market Authority (CMA) for public companies and the Saudi Central Bank (SAMA) for financial institutions.</w:t>
      </w:r>
    </w:p>
    <w:p>
      <w:pPr>
        <w:pStyle w:val="BodyText"/>
      </w:pPr>
      <w:r>
        <w:t xml:space="preserve">For an Auditor based in Riyadh, this means maintaining a deep understanding of both global standards and local nuances. For instance, while IFRS provides a universal language of finance, local interpretations regarding Zakat calculation, Saudization labor costs, and Sharia-compliant financing structures require specialized knowledge. The Auditor in Saudi Arabia Riyadh must therefore possess not only technical accounting skills but also cultural and legal acumen to navigate these intricacies effectively.</w:t>
      </w:r>
    </w:p>
    <w:bookmarkEnd w:id="22"/>
    <w:bookmarkStart w:id="23" w:name="Xe1a328e70d68be2e35d839a96a437f92f976bed"/>
    <w:p>
      <w:pPr>
        <w:pStyle w:val="Heading2"/>
      </w:pPr>
      <w:r>
        <w:t xml:space="preserve">3. The Impact of Vision 2030 on Auditing Practices</w:t>
      </w:r>
    </w:p>
    <w:p>
      <w:pPr>
        <w:pStyle w:val="FirstParagraph"/>
      </w:pPr>
      <w:r>
        <w:t xml:space="preserve">Vision 2030 has introduced a wave of new projects, including the Neom megacity project, Qiddiya entertainment district, and various economic cities. These large-scale initiatives require rigorous financial oversight to prevent corruption and ensure efficient use of resources. Herein lies the expanded mandate for the Auditor.</w:t>
      </w:r>
    </w:p>
    <w:p>
      <w:pPr>
        <w:numPr>
          <w:ilvl w:val="0"/>
          <w:numId w:val="1001"/>
        </w:numPr>
        <w:pStyle w:val="Compact"/>
      </w:pPr>
      <w:r>
        <w:rPr>
          <w:bCs/>
          <w:b/>
        </w:rPr>
        <w:t xml:space="preserve">Governance Strengthening:</w:t>
      </w:r>
      <w:r>
        <w:t xml:space="preserve"> </w:t>
      </w:r>
      <w:r>
        <w:t xml:space="preserve">As public sector entities increasingly operate like private corporations, the need for independent Audit Committees has grown. The Auditor is tasked with assessing the effectiveness of these committees and ensuring they provide genuine oversight rather than merely acting as a rubber stamp.</w:t>
      </w:r>
    </w:p>
    <w:p>
      <w:pPr>
        <w:numPr>
          <w:ilvl w:val="0"/>
          <w:numId w:val="1001"/>
        </w:numPr>
        <w:pStyle w:val="Compact"/>
      </w:pPr>
      <w:r>
        <w:rPr>
          <w:bCs/>
          <w:b/>
        </w:rPr>
        <w:t xml:space="preserve">Risk Management:</w:t>
      </w:r>
      <w:r>
        <w:t xml:space="preserve"> </w:t>
      </w:r>
      <w:r>
        <w:t xml:space="preserve">With increased investment comes increased risk. Auditors in Riyadh are now expected to evaluate enterprise-wide risk management frameworks, identifying potential pitfalls in procurement, contract management, and operational efficiency.</w:t>
      </w:r>
    </w:p>
    <w:p>
      <w:pPr>
        <w:numPr>
          <w:ilvl w:val="0"/>
          <w:numId w:val="1001"/>
        </w:numPr>
        <w:pStyle w:val="Compact"/>
      </w:pPr>
      <w:r>
        <w:rPr>
          <w:bCs/>
          <w:b/>
        </w:rPr>
        <w:t xml:space="preserve">Ethical Integrity:</w:t>
      </w:r>
      <w:r>
        <w:t xml:space="preserve"> </w:t>
      </w:r>
      <w:r>
        <w:t xml:space="preserve">The push for a transparent economy requires Auditors to uphold the highest ethical standards. Any breach of integrity can severely damage the reputation of both the firm and the broader Saudi financial market.</w:t>
      </w:r>
    </w:p>
    <w:bookmarkEnd w:id="23"/>
    <w:bookmarkStart w:id="24" w:name="X40d43e8cb996e59677c770be3c2ba1c120b3a18"/>
    <w:p>
      <w:pPr>
        <w:pStyle w:val="Heading2"/>
      </w:pPr>
      <w:r>
        <w:t xml:space="preserve">4. Technological Integration and Digital Transformation</w:t>
      </w:r>
    </w:p>
    <w:p>
      <w:pPr>
        <w:pStyle w:val="FirstParagraph"/>
      </w:pPr>
      <w:r>
        <w:t xml:space="preserve">Riyadh is positioning itself as a regional leader in technology and innovation. Consequently, traditional manual auditing methods are being phased out in favor of data analytics, artificial intelligence (AI), and blockchain technologies. Modern Auditors working in Saudi Arabia Riyadh must leverage these tools to analyze vast datasets for anomalies that would be invisible to the naked eye.</w:t>
      </w:r>
    </w:p>
    <w:p>
      <w:pPr>
        <w:pStyle w:val="BodyText"/>
      </w:pPr>
      <w:r>
        <w:t xml:space="preserve">Data analytics allows for continuous auditing rather than periodic reviews. This shift is particularly important in a fast-paced market like Riyadh, where real-time insights are valuable for decision-makers. However, this technological transition poses challenges regarding skill gaps. There is a growing demand for Auditors who are proficient in both accounting principles and data science techniques. Educational institutions and professional bodies in Saudi Arabia are responding by updating curricula to include digital literacy modules.</w:t>
      </w:r>
    </w:p>
    <w:bookmarkEnd w:id="24"/>
    <w:bookmarkStart w:id="25" w:name="X69e11be5ade20623acd3287604c4bdd124e73ab"/>
    <w:p>
      <w:pPr>
        <w:pStyle w:val="Heading2"/>
      </w:pPr>
      <w:r>
        <w:t xml:space="preserve">5. Challenges Facing the Auditor Profession in Riyadh</w:t>
      </w:r>
    </w:p>
    <w:p>
      <w:pPr>
        <w:pStyle w:val="FirstParagraph"/>
      </w:pPr>
      <w:r>
        <w:t xml:space="preserve">Despite the opportunities, several challenges persist for Auditors in Saudi Arabia Riyadh:</w:t>
      </w:r>
    </w:p>
    <w:p>
      <w:pPr>
        <w:numPr>
          <w:ilvl w:val="0"/>
          <w:numId w:val="1002"/>
        </w:numPr>
        <w:pStyle w:val="Compact"/>
      </w:pPr>
      <w:r>
        <w:rPr>
          <w:bCs/>
          <w:b/>
        </w:rPr>
        <w:t xml:space="preserve">Talent Shortage:</w:t>
      </w:r>
    </w:p>
    <w:p>
      <w:pPr>
        <w:numPr>
          <w:ilvl w:val="0"/>
          <w:numId w:val="1002"/>
        </w:numPr>
        <w:pStyle w:val="Compact"/>
      </w:pPr>
      <w:r>
        <w:rPr>
          <w:bCs/>
          <w:b/>
        </w:rPr>
        <w:t xml:space="preserve">Cultural Resistance:</w:t>
      </w:r>
    </w:p>
    <w:p>
      <w:pPr>
        <w:numPr>
          <w:ilvl w:val="0"/>
          <w:numId w:val="1002"/>
        </w:numPr>
        <w:pStyle w:val="Compact"/>
      </w:pPr>
      <w:r>
        <w:rPr>
          <w:bCs/>
          <w:b/>
        </w:rPr>
        <w:t xml:space="preserve">Regulatory Complexity:</w:t>
      </w:r>
    </w:p>
    <w:bookmarkEnd w:id="25"/>
    <w:bookmarkStart w:id="26" w:name="recommendations-for-stakeholders"/>
    <w:p>
      <w:pPr>
        <w:pStyle w:val="Heading2"/>
      </w:pPr>
      <w:r>
        <w:t xml:space="preserve">6. Recommendations for Stakeholders</w:t>
      </w:r>
    </w:p>
    <w:p>
      <w:pPr>
        <w:pStyle w:val="FirstParagraph"/>
      </w:pPr>
      <w:r>
        <w:t xml:space="preserve">To enhance the effectiveness of the Auditor role in Saudi Arabia Riyadh, several recommendations are proposed:</w:t>
      </w:r>
    </w:p>
    <w:p>
      <w:pPr>
        <w:numPr>
          <w:ilvl w:val="0"/>
          <w:numId w:val="1003"/>
        </w:numPr>
        <w:pStyle w:val="Compact"/>
      </w:pPr>
      <w:r>
        <w:rPr>
          <w:bCs/>
          <w:b/>
        </w:rPr>
        <w:t xml:space="preserve">Bridging the Gap:</w:t>
      </w:r>
    </w:p>
    <w:p>
      <w:pPr>
        <w:numPr>
          <w:ilvl w:val="0"/>
          <w:numId w:val="1003"/>
        </w:numPr>
        <w:pStyle w:val="Compact"/>
      </w:pPr>
      <w:r>
        <w:rPr>
          <w:bCs/>
          <w:b/>
        </w:rPr>
        <w:t xml:space="preserve">Tech Adoption:</w:t>
      </w:r>
    </w:p>
    <w:p>
      <w:pPr>
        <w:numPr>
          <w:ilvl w:val="0"/>
          <w:numId w:val="1003"/>
        </w:numPr>
        <w:pStyle w:val="Compact"/>
      </w:pPr>
      <w:r>
        <w:rPr>
          <w:bCs/>
          <w:b/>
        </w:rPr>
        <w:t xml:space="preserve">Harmonization:</w:t>
      </w:r>
      <w:r>
        <w:t xml:space="preserve">A greater effort should be made to harmonize local interpretations of international standards with global practices, reducing confusion for multinational corporations operating in the region.</w:t>
      </w:r>
    </w:p>
    <w:bookmarkEnd w:id="26"/>
    <w:bookmarkStart w:id="27" w:name="conclusion"/>
    <w:p>
      <w:pPr>
        <w:pStyle w:val="Heading2"/>
      </w:pPr>
      <w:r>
        <w:t xml:space="preserve">7. Conclusion</w:t>
      </w:r>
    </w:p>
    <w:p>
      <w:pPr>
        <w:pStyle w:val="FirstParagraph"/>
      </w:pPr>
      <w:r>
        <w:t xml:space="preserve">In conclusion, the Auditor stands at the forefront of financial integrity and corporate governance in Saudi Arabia Riyadh. As the Kingdom moves towards its Vision 2030 goals, the role of the Auditor has expanded from a technical reviewer to a strategic advisor who ensures transparency, mitigates risk, and promotes ethical business practices. The unique combination of rigorous international standards and local regulatory requirements creates a complex but rewarding environment for professionals in this field.</w:t>
      </w:r>
    </w:p>
    <w:p>
      <w:pPr>
        <w:pStyle w:val="BodyText"/>
      </w:pPr>
      <w:r>
        <w:t xml:space="preserve">By embracing technological advancements, addressing talent shortages through Saudization initiatives, and fostering a culture of compliance, the Auditor profession can significantly contribute to the stability and growth of Riyadh’s economy. Future research should focus on the long-term impact of digital auditing tools on financial reporting accuracy in emerging markets similar to Saudi Arabia. Ultimately, a robust auditing framework is indispensable for sustaining investor confidence and achieving sustainable economic diversification.</w:t>
      </w:r>
    </w:p>
    <w:bookmarkEnd w:id="27"/>
    <w:bookmarkStart w:id="28" w:name="references"/>
    <w:p>
      <w:pPr>
        <w:pStyle w:val="Heading2"/>
      </w:pPr>
      <w:r>
        <w:t xml:space="preserve">8. References</w:t>
      </w:r>
    </w:p>
    <w:p>
      <w:pPr>
        <w:numPr>
          <w:ilvl w:val="0"/>
          <w:numId w:val="1004"/>
        </w:numPr>
        <w:pStyle w:val="Compact"/>
      </w:pPr>
      <w:r>
        <w:t xml:space="preserve">Saudi Organization for Chartered and Professional Accountants (SOCPA). (2023). *Guidelines on IFRS Implementation in the Kingdom.*</w:t>
      </w:r>
    </w:p>
    <w:p>
      <w:pPr>
        <w:numPr>
          <w:ilvl w:val="0"/>
          <w:numId w:val="1004"/>
        </w:numPr>
        <w:pStyle w:val="Compact"/>
      </w:pPr>
      <w:r>
        <w:t xml:space="preserve">Capital Market Authority (CMA). (2022). *Corporate Governance Regulations for Listed Companies.*</w:t>
      </w:r>
    </w:p>
    <w:p>
      <w:pPr>
        <w:numPr>
          <w:ilvl w:val="0"/>
          <w:numId w:val="1004"/>
        </w:numPr>
        <w:pStyle w:val="Compact"/>
      </w:pPr>
      <w:r>
        <w:t xml:space="preserve">Vision 2030 Document. (n.d.). *Kingdom of Saudi Arabia Transformation Program.*</w:t>
      </w:r>
    </w:p>
    <w:p>
      <w:pPr>
        <w:numPr>
          <w:ilvl w:val="0"/>
          <w:numId w:val="1004"/>
        </w:numPr>
        <w:pStyle w:val="Compact"/>
      </w:pPr>
      <w:r>
        <w:t xml:space="preserve">Saudi Central Bank (SAMA). (2021). *Regulatory Framework for Financial Institutions.*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the Financial Landscape of Saudi Arabia Riyadh</dc:title>
  <dc:creator/>
  <dc:language>en</dc:language>
  <cp:keywords/>
  <dcterms:created xsi:type="dcterms:W3CDTF">2026-07-29T14:47:11Z</dcterms:created>
  <dcterms:modified xsi:type="dcterms:W3CDTF">2026-07-29T14:47:11Z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