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Strategic</w:t>
      </w:r>
      <w:r>
        <w:t xml:space="preserve"> </w:t>
      </w:r>
      <w:r>
        <w:t xml:space="preserve">Insights</w:t>
      </w:r>
      <w:r>
        <w:t xml:space="preserve"> </w:t>
      </w:r>
      <w:r>
        <w:t xml:space="preserve">for</w:t>
      </w:r>
      <w:r>
        <w:t xml:space="preserve"> </w:t>
      </w:r>
      <w:r>
        <w:t xml:space="preserve">Modern</w:t>
      </w:r>
      <w:r>
        <w:t xml:space="preserve"> </w:t>
      </w:r>
      <w:r>
        <w:t xml:space="preserve">Governance</w:t>
      </w:r>
    </w:p>
    <w:p>
      <w:pPr>
        <w:pStyle w:val="FirstParagraph"/>
      </w:pPr>
      <w:r>
        <w:t xml:space="preserve">```html</w:t>
      </w:r>
    </w:p>
    <w:bookmarkStart w:id="40" w:name="Xd82424c507fcaddb704f0057ec12a3b9d995a64"/>
    <w:p>
      <w:pPr>
        <w:pStyle w:val="Heading1"/>
      </w:pPr>
      <w:r>
        <w:t xml:space="preserve">The Evolving Role of the Auditor in United States Los Angeles: Strategic Insights for Modern Governance</w:t>
      </w:r>
    </w:p>
    <w:p>
      <w:pPr>
        <w:pStyle w:val="FirstParagraph"/>
      </w:pPr>
      <w:r>
        <w:t xml:space="preserve">Prepared for the International Conference on Financial Regulation and Audit Standards</w:t>
      </w:r>
    </w:p>
    <w:p>
      <w:pPr>
        <w:pStyle w:val="BodyText"/>
      </w:pPr>
      <w:r>
        <w:rPr>
          <w:bCs/>
          <w:b/>
        </w:rPr>
        <w:t xml:space="preserve">Jane Doe, CPA, CIA</w:t>
      </w:r>
      <w:r>
        <w:br/>
      </w:r>
      <w:r>
        <w:t xml:space="preserve">Led Audit Partner, Global Assurance Services</w:t>
      </w:r>
      <w:r>
        <w:br/>
      </w:r>
      <w:r>
        <w:t xml:space="preserve">Los Angeles, California</w:t>
      </w:r>
    </w:p>
    <w:p>
      <w:r>
        <w:pict>
          <v:rect style="width:0;height:1.5pt" o:hralign="center" o:hrstd="t" o:hr="t"/>
        </w:pict>
      </w:r>
    </w:p>
    <w:bookmarkStart w:id="20" w:name="abstract"/>
    <w:p>
      <w:pPr>
        <w:pStyle w:val="Heading2"/>
      </w:pPr>
      <w:r>
        <w:t xml:space="preserve">Abstract</w:t>
      </w:r>
    </w:p>
    <w:p>
      <w:pPr>
        <w:pStyle w:val="FirstParagraph"/>
      </w:pPr>
      <w:r>
        <w:t xml:space="preserve">The role of the Auditor has transcended traditional compliance checking to become a pivotal strategic partner in corporate governance and public administration. This paper examines the critical functions, challenges, and opportunities facing Auditors within the dynamic economic landscape of United States Los Angeles. As one of the largest metropolitan economies in North America, Los Angeles presents a unique ecosystem where diverse industries ranging from entertainment technology to international logistics intersect with stringent regulatory frameworks. The discussion highlights how modern Auditing practices must adapt to digital transformation, increased scrutiny on environmental social and governance (ESG) metrics, and complex supply chain risks. By analyzing case studies from major firms operating in this region this paper argues that the Auditor is no longer merely a detective of errors but a guardian of trust and a driver of sustainable value creation for stakeholders in United States Los Angeles.</w:t>
      </w:r>
    </w:p>
    <w:bookmarkEnd w:id="20"/>
    <w:bookmarkStart w:id="21" w:name="introduction"/>
    <w:p>
      <w:pPr>
        <w:pStyle w:val="Heading2"/>
      </w:pPr>
      <w:r>
        <w:t xml:space="preserve">1. Introduction</w:t>
      </w:r>
    </w:p>
    <w:p>
      <w:pPr>
        <w:pStyle w:val="FirstParagraph"/>
      </w:pPr>
      <w:r>
        <w:t xml:space="preserve">In the contemporary business environment the integrity of financial reporting and operational transparency is paramount. The Auditor stands at the forefront of this imperative serving as an independent assurance provider whose primary mandate is to validate the accuracy and fairness of organizational disclosures. However, in a city as complex and multifaceted as United States Los Angeles, the scope of auditing extends far beyond simple numerical verification. Los Angeles serves as a critical hub for global trade technology innovation and cultural influence which necessitates an equally sophisticated approach to audit practices.</w:t>
      </w:r>
    </w:p>
    <w:p>
      <w:pPr>
        <w:pStyle w:val="BodyText"/>
      </w:pPr>
      <w:r>
        <w:t xml:space="preserve">The economic footprint of United States Los Angeles is vast encompassing sectors such as aerospace defense healthcare entertainment telecommunications and international trade through the Ports of Los Angeles and Long Beach. For Auditors operating in this jurisdiction the challenge lies in navigating a regulatory landscape that is both heavily influenced by federal standards like those from the Securities and Exchange Commission (SEC) and shaped by specific local economic realities. This paper explores how the modern Auditor must evolve to meet these demands ensuring that they provide not just compliance but strategic insight.</w:t>
      </w:r>
    </w:p>
    <w:bookmarkEnd w:id="21"/>
    <w:bookmarkStart w:id="25" w:name="landscape"/>
    <w:bookmarkStart w:id="24" w:name="X739b4b5a0b3ba8091e911c87b230e17d38b6667"/>
    <w:p>
      <w:pPr>
        <w:pStyle w:val="Heading2"/>
      </w:pPr>
      <w:r>
        <w:t xml:space="preserve">2. The Unique Context of United States Los Angeles</w:t>
      </w:r>
    </w:p>
    <w:p>
      <w:pPr>
        <w:pStyle w:val="FirstParagraph"/>
      </w:pPr>
      <w:r>
        <w:t xml:space="preserve">To understand the specific role of the Auditor in this region one must first appreciate the unique characteristics of United States Los Angeles. It is a city defined by diversity not only in its population but also in its economic activities. For an Auditor this diversity translates into complex risk profiles.</w:t>
      </w:r>
    </w:p>
    <w:bookmarkStart w:id="22" w:name="technology-and-intellectual-property"/>
    <w:p>
      <w:pPr>
        <w:pStyle w:val="Heading3"/>
      </w:pPr>
      <w:r>
        <w:t xml:space="preserve">2.1 Technology and Intellectual Property</w:t>
      </w:r>
    </w:p>
    <w:p>
      <w:pPr>
        <w:pStyle w:val="FirstParagraph"/>
      </w:pPr>
      <w:r>
        <w:t xml:space="preserve">The Silicon Beach ecosystem in Santa Monica and surrounding areas has created a surge in tech startups and venture capital activity. Auditors here face the challenge of valuing intangible assets intellectual property rights and revenue recognition for software-as-a-service models which differ significantly from traditional manufacturing metrics. The rapid pace of innovation requires Auditors to possess deep technical knowledge to effectively assess internal controls over financial reporting in these high-growth environments.</w:t>
      </w:r>
    </w:p>
    <w:bookmarkEnd w:id="22"/>
    <w:bookmarkStart w:id="23" w:name="logistics-and-global-supply-chains"/>
    <w:p>
      <w:pPr>
        <w:pStyle w:val="Heading3"/>
      </w:pPr>
      <w:r>
        <w:t xml:space="preserve">2.2 Logistics and Global Supply Chains</w:t>
      </w:r>
    </w:p>
    <w:p>
      <w:pPr>
        <w:pStyle w:val="FirstParagraph"/>
      </w:pPr>
      <w:r>
        <w:t xml:space="preserve">As the gateway for nearly forty percent of all containerized imports into the United States, Los Angeles is central to global supply chains. Auditors working with logistics companies and importers must navigate complex international tax laws customs regulations and inventory valuation issues. The volatility in global shipping costs and geopolitical tensions adds layers of risk that require proactive auditing strategies rather than reactive examination.</w:t>
      </w:r>
    </w:p>
    <w:bookmarkEnd w:id="23"/>
    <w:bookmarkEnd w:id="24"/>
    <w:bookmarkEnd w:id="25"/>
    <w:bookmarkStart w:id="29" w:name="digital"/>
    <w:bookmarkStart w:id="28" w:name="Xeb9e3de23d1245fdc09dc3728f4485c4f926c54"/>
    <w:p>
      <w:pPr>
        <w:pStyle w:val="Heading2"/>
      </w:pPr>
      <w:r>
        <w:t xml:space="preserve">3. Digital Transformation and Audit Methodology</w:t>
      </w:r>
    </w:p>
    <w:p>
      <w:pPr>
        <w:pStyle w:val="FirstParagraph"/>
      </w:pPr>
      <w:r>
        <w:t xml:space="preserve">The traditional manual sampling approach to auditing is becoming obsolete particularly in a data-rich environment like United States Los Angeles. With the advent of Big Data analytics cloud computing and artificial intelligence, the Auditor has access to unprecedented levels of information.</w:t>
      </w:r>
    </w:p>
    <w:bookmarkStart w:id="26" w:name="data-analytics"/>
    <w:p>
      <w:pPr>
        <w:pStyle w:val="Heading3"/>
      </w:pPr>
      <w:r>
        <w:t xml:space="preserve">3.1 Data Analytics</w:t>
      </w:r>
    </w:p>
    <w:p>
      <w:pPr>
        <w:pStyle w:val="FirstParagraph"/>
      </w:pPr>
      <w:r>
        <w:t xml:space="preserve">Incorporating continuous auditing and monitoring allows Auditors to analyze 100% of transactions rather than relying on statistical samples. For large corporations headquartered in Los Angeles this means detecting anomalies fraud patterns and operational inefficiencies in real time. The Auditor must therefore be proficient in data visualization tools such as Tableau or Power BI to translate complex datasets into actionable insights for management.</w:t>
      </w:r>
    </w:p>
    <w:bookmarkEnd w:id="26"/>
    <w:bookmarkStart w:id="27" w:name="cybersecurity-risks"/>
    <w:p>
      <w:pPr>
        <w:pStyle w:val="Heading3"/>
      </w:pPr>
      <w:r>
        <w:t xml:space="preserve">3.2 Cybersecurity Risks</w:t>
      </w:r>
    </w:p>
    <w:p>
      <w:pPr>
        <w:pStyle w:val="FirstParagraph"/>
      </w:pPr>
      <w:r>
        <w:t xml:space="preserve">Cybersecurity is a top priority for organizations in United States Los Angeles given the high profile nature of many local enterprises. The Auditor plays a crucial role in evaluating the effectiveness of IT general controls and cybersecurity frameworks such as NIST or ISO 27001. Failure to adequately assess digital security can lead to significant financial losses and reputational damage making this a key area of focus for modern audit engagements.</w:t>
      </w:r>
    </w:p>
    <w:bookmarkEnd w:id="27"/>
    <w:bookmarkEnd w:id="28"/>
    <w:bookmarkEnd w:id="29"/>
    <w:bookmarkStart w:id="31" w:name="esg"/>
    <w:bookmarkStart w:id="30" w:name="X5a0e4f96436e4dfb4d96e9268064397ef1b8eac"/>
    <w:p>
      <w:pPr>
        <w:pStyle w:val="Heading2"/>
      </w:pPr>
      <w:r>
        <w:t xml:space="preserve">4. Environmental Social and Governance (ESG) Reporting</w:t>
      </w:r>
    </w:p>
    <w:p>
      <w:pPr>
        <w:pStyle w:val="FirstParagraph"/>
      </w:pPr>
      <w:r>
        <w:t xml:space="preserve">Sustainability is no longer a peripheral concern but a central tenet of corporate strategy especially in environmentally conscious regions like California. The Auditor’s role is expanding to include the assurance of non-financial reporting. Stakeholders investors and regulators are increasingly demanding transparency regarding carbon footprints labor practices and board diversity.</w:t>
      </w:r>
    </w:p>
    <w:p>
      <w:pPr>
        <w:pStyle w:val="BodyText"/>
      </w:pPr>
      <w:r>
        <w:t xml:space="preserve">In United States Los Angeles companies are under pressure to align with state-level climate regulations such as the California Climate Accountability Package. Auditors must develop methodologies for verifying sustainability claims preventing greenwashing and ensuring that ESG data is subjected to the same rigorous standards of assurance as financial statements. This evolution requires a multidisciplinary team approach combining expertise in accounting environmental science and regulatory law.</w:t>
      </w:r>
    </w:p>
    <w:bookmarkEnd w:id="30"/>
    <w:bookmarkEnd w:id="31"/>
    <w:bookmarkStart w:id="33" w:name="regulation"/>
    <w:bookmarkStart w:id="32" w:name="navigating-regulatory-complexity"/>
    <w:p>
      <w:pPr>
        <w:pStyle w:val="Heading2"/>
      </w:pPr>
      <w:r>
        <w:t xml:space="preserve">5. Navigating Regulatory Complexity</w:t>
      </w:r>
    </w:p>
    <w:p>
      <w:pPr>
        <w:pStyle w:val="FirstParagraph"/>
      </w:pPr>
      <w:r>
        <w:t xml:space="preserve">The regulatory environment for the Auditor is becoming increasingly stringent. In United States Los Angeles, firms must comply with Federal Auditing Standards as issued by the Government Accountability Office (GAO) for public sector entities and generally accepted auditing standards (GAAS) for private companies. Additionally state-specific regulations imposed by the California Board of Accountancy add another layer of compliance.</w:t>
      </w:r>
    </w:p>
    <w:p>
      <w:pPr>
        <w:pStyle w:val="BodyText"/>
      </w:pPr>
      <w:r>
        <w:t xml:space="preserve">The Auditor must remain agile in responding to changes in legislation regarding data privacy such as the California Consumer Privacy Act (CCPA). Ensuring that personal data handling processes are auditable and compliant is now a critical component of many audit engagements. This requires close collaboration between legal teams and audit professionals to bridge the gap between technical compliance and operational reality.</w:t>
      </w:r>
    </w:p>
    <w:bookmarkEnd w:id="32"/>
    <w:bookmarkEnd w:id="33"/>
    <w:bookmarkStart w:id="37" w:name="case-studies"/>
    <w:bookmarkStart w:id="36" w:name="Xedc9d5d5b59791467ea82b18b8ff1afbdbe3bee"/>
    <w:p>
      <w:pPr>
        <w:pStyle w:val="Heading2"/>
      </w:pPr>
      <w:r>
        <w:t xml:space="preserve">6. Case Studies: Best Practices in Los Angeles</w:t>
      </w:r>
    </w:p>
    <w:p>
      <w:pPr>
        <w:pStyle w:val="FirstParagraph"/>
      </w:pPr>
      <w:r>
        <w:t xml:space="preserve">To illustrate these points we examine two hypothetical yet representative scenarios from organizations operating in United States Los Angeles.</w:t>
      </w:r>
    </w:p>
    <w:bookmarkStart w:id="34" w:name="scenario-a-the-tech-startup"/>
    <w:p>
      <w:pPr>
        <w:pStyle w:val="Heading3"/>
      </w:pPr>
      <w:r>
        <w:t xml:space="preserve">6.1 Scenario A: The Tech Startup</w:t>
      </w:r>
    </w:p>
    <w:p>
      <w:pPr>
        <w:pStyle w:val="FirstParagraph"/>
      </w:pPr>
      <w:r>
        <w:t xml:space="preserve">A Series B funded AI company based in Downtown LA faced challenges with revenue recognition due to complex licensing deals. The Auditor implemented a specialized review process focusing on contract analysis and milestone-based revenue allocation. By leveraging data analytics the Auditor identified discrepancies in billing cycles that had been overlooked, resulting in corrected financial statements and restored investor confidence.</w:t>
      </w:r>
    </w:p>
    <w:bookmarkEnd w:id="34"/>
    <w:bookmarkStart w:id="35" w:name="scenario-b-the-manufacturing-firm"/>
    <w:p>
      <w:pPr>
        <w:pStyle w:val="Heading3"/>
      </w:pPr>
      <w:r>
        <w:t xml:space="preserve">6.2 Scenario B: The Manufacturing Firm</w:t>
      </w:r>
    </w:p>
    <w:p>
      <w:pPr>
        <w:pStyle w:val="FirstParagraph"/>
      </w:pPr>
      <w:r>
        <w:t xml:space="preserve">A mid-sized manufacturing plant located in the San Fernando Valley sought to improve its supply chain resilience. The Auditor conducted a comprehensive review of vendor management processes and inventory controls. Recommendations included diversifying suppliers and implementing blockchain technology for traceability. This proactive approach not only mitigated risk but also enhanced the company’s ESG profile appealing to eco-conscious consumers.</w:t>
      </w:r>
    </w:p>
    <w:bookmarkEnd w:id="35"/>
    <w:bookmarkEnd w:id="36"/>
    <w:bookmarkEnd w:id="37"/>
    <w:bookmarkStart w:id="38" w:name="conclusion"/>
    <w:p>
      <w:pPr>
        <w:pStyle w:val="Heading2"/>
      </w:pPr>
      <w:r>
        <w:t xml:space="preserve">7. Conclusion</w:t>
      </w:r>
    </w:p>
    <w:p>
      <w:pPr>
        <w:pStyle w:val="FirstParagraph"/>
      </w:pPr>
      <w:r>
        <w:t xml:space="preserve">The role of the Auditor in United States Los Angeles is undergoing a profound transformation driven by technological advancement regulatory change and shifting stakeholder expectations. No longer confined to the back office, the Auditor is now a strategic advisor who contributes to organizational resilience and long-term sustainability. By embracing digital tools focusing on ESG assurance and navigating complex regulatory landscapes Auditors can deliver significant value to businesses in this dynamic metropolitan area.</w:t>
      </w:r>
    </w:p>
    <w:p>
      <w:pPr>
        <w:pStyle w:val="BodyText"/>
      </w:pPr>
      <w:r>
        <w:t xml:space="preserve">For professionals operating in United States Los Angeles, continuous learning and adaptation are essential. The future of auditing lies in its ability to integrate quantitative rigor with qualitative insight providing a holistic view of organizational health. As we move forward it is imperative that the audit profession continues to evolve ensuring that it remains relevant effective and trusted by all stakeholders involved.</w:t>
      </w:r>
    </w:p>
    <w:bookmarkEnd w:id="38"/>
    <w:bookmarkStart w:id="39" w:name="references"/>
    <w:p>
      <w:pPr>
        <w:pStyle w:val="Heading2"/>
      </w:pPr>
      <w:r>
        <w:t xml:space="preserve">References</w:t>
      </w:r>
    </w:p>
    <w:p>
      <w:pPr>
        <w:numPr>
          <w:ilvl w:val="0"/>
          <w:numId w:val="1001"/>
        </w:numPr>
        <w:pStyle w:val="Compact"/>
      </w:pPr>
      <w:r>
        <w:rPr>
          <w:bCs/>
          <w:b/>
        </w:rPr>
        <w:t xml:space="preserve">[1]</w:t>
      </w:r>
      <w:r>
        <w:t xml:space="preserve"> </w:t>
      </w:r>
      <w:r>
        <w:t xml:space="preserve">Public Company Accounting Oversight Board (PCAOB). (2023). Auditing Standards and Interpretations. Washington D.C.</w:t>
      </w:r>
    </w:p>
    <w:p>
      <w:pPr>
        <w:numPr>
          <w:ilvl w:val="0"/>
          <w:numId w:val="1001"/>
        </w:numPr>
        <w:pStyle w:val="Compact"/>
      </w:pPr>
      <w:r>
        <w:rPr>
          <w:bCs/>
          <w:b/>
        </w:rPr>
        <w:t xml:space="preserve">[2]</w:t>
      </w:r>
      <w:r>
        <w:t xml:space="preserve"> </w:t>
      </w:r>
      <w:r>
        <w:t xml:space="preserve">California Board of Accountancy. (2024). Regulations for Certified Public Accountants in California. Sacramento CA.</w:t>
      </w:r>
    </w:p>
    <w:p>
      <w:pPr>
        <w:numPr>
          <w:ilvl w:val="0"/>
          <w:numId w:val="1001"/>
        </w:numPr>
        <w:pStyle w:val="Compact"/>
      </w:pPr>
      <w:r>
        <w:rPr>
          <w:bCs/>
          <w:b/>
        </w:rPr>
        <w:t xml:space="preserve">[3]</w:t>
      </w:r>
      <w:r>
        <w:t xml:space="preserve"> </w:t>
      </w:r>
      <w:r>
        <w:t xml:space="preserve">International Federation of Accountants (IFAC). (2023). Global Economic Outlook and Audit Trends. New York NY.</w:t>
      </w:r>
    </w:p>
    <w:p>
      <w:pPr>
        <w:numPr>
          <w:ilvl w:val="0"/>
          <w:numId w:val="1001"/>
        </w:numPr>
        <w:pStyle w:val="Compact"/>
      </w:pPr>
      <w:r>
        <w:rPr>
          <w:bCs/>
          <w:b/>
        </w:rPr>
        <w:t xml:space="preserve">[4]</w:t>
      </w:r>
      <w:r>
        <w:t xml:space="preserve"> </w:t>
      </w:r>
      <w:r>
        <w:t xml:space="preserve">Securities and Exchange Commission (SEC). (2024). Climate Change Disclosures Rulemaking. Washington D.C.</w:t>
      </w:r>
    </w:p>
    <w:p>
      <w:pPr>
        <w:numPr>
          <w:ilvl w:val="0"/>
          <w:numId w:val="1001"/>
        </w:numPr>
        <w:pStyle w:val="Compact"/>
      </w:pPr>
      <w:r>
        <w:rPr>
          <w:bCs/>
          <w:b/>
        </w:rPr>
        <w:t xml:space="preserve">[5]</w:t>
      </w:r>
      <w:r>
        <w:t xml:space="preserve"> </w:t>
      </w:r>
      <w:r>
        <w:t xml:space="preserve">Los Angeles County Metropolitan Transportation Authority. (2023). Annual Financial Report. Los Angeles CA.</w:t>
      </w:r>
    </w:p>
    <w:bookmarkEnd w:id="39"/>
    <w:p>
      <w:pPr>
        <w:pStyle w:val="FirstParagraph"/>
      </w:pPr>
      <w:r>
        <w:t xml:space="preserve">```</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United States Los Angeles: Strategic Insights for Modern Governance</dc:title>
  <dc:creator/>
  <dc:language>en</dc:language>
  <cp:keywords/>
  <dcterms:created xsi:type="dcterms:W3CDTF">2026-07-30T11:00:01Z</dcterms:created>
  <dcterms:modified xsi:type="dcterms:W3CDTF">2026-07-30T11:00:01Z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