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Audit</w:t>
      </w:r>
      <w:r>
        <w:t xml:space="preserve"> </w:t>
      </w:r>
      <w:r>
        <w:t xml:space="preserve">Practices</w:t>
      </w:r>
      <w:r>
        <w:t xml:space="preserve"> </w:t>
      </w:r>
      <w:r>
        <w:t xml:space="preserve">in</w:t>
      </w:r>
      <w:r>
        <w:t xml:space="preserve"> </w:t>
      </w:r>
      <w:r>
        <w:t xml:space="preserve">the</w:t>
      </w:r>
      <w:r>
        <w:t xml:space="preserve"> </w:t>
      </w:r>
      <w:r>
        <w:t xml:space="preserve">Modern</w:t>
      </w:r>
      <w:r>
        <w:t xml:space="preserve"> </w:t>
      </w:r>
      <w:r>
        <w:t xml:space="preserve">Economic</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and</w:t>
      </w:r>
      <w:r>
        <w:t xml:space="preserve"> </w:t>
      </w:r>
      <w:r>
        <w:t xml:space="preserve">Global</w:t>
      </w:r>
      <w:r>
        <w:t xml:space="preserve"> </w:t>
      </w:r>
      <w:r>
        <w:t xml:space="preserve">Standards</w:t>
      </w:r>
    </w:p>
    <w:bookmarkStart w:id="28" w:name="X8877f13d00af48ce77e5be014be335d695a96bc"/>
    <w:p>
      <w:pPr>
        <w:pStyle w:val="Heading1"/>
      </w:pPr>
      <w:r>
        <w:t xml:space="preserve">The Evolution of Audit Practices in the Modern Economic Landscape:</w:t>
      </w:r>
      <w:r>
        <w:br/>
      </w:r>
      <w:r>
        <w:t xml:space="preserve">A Focus on the United States, Miami, and Global Standards</w:t>
      </w:r>
    </w:p>
    <w:p>
      <w:pPr>
        <w:pStyle w:val="FirstParagraph"/>
      </w:pPr>
      <w:r>
        <w:rPr>
          <w:iCs/>
          <w:i/>
          <w:bCs/>
          <w:b/>
        </w:rPr>
        <w:t xml:space="preserve">Draft for Conference Presentation on Accounting and Financial Regulation</w:t>
      </w:r>
    </w:p>
    <w:bookmarkStart w:id="20" w:name="abstract"/>
    <w:p>
      <w:pPr>
        <w:pStyle w:val="Heading2"/>
      </w:pPr>
      <w:r>
        <w:t xml:space="preserve">Abstract</w:t>
      </w:r>
    </w:p>
    <w:p>
      <w:pPr>
        <w:pStyle w:val="FirstParagraph"/>
      </w:pPr>
      <w:r>
        <w:t xml:space="preserve">This paper examines the critical role of the Auditor in maintaining financial integrity, transparency, and trust within the global marketplace. With specific attention to regulatory frameworks in the United States and emerging trends in Miami, Florida—a hub for international finance and Latin American trade—this study highlights how auditing standards are adapting to technological advancements and cross-border complexities. As corporate governance becomes increasingly scrutinized by stakeholders worldwide, the Auditor must evolve from a traditional compliance checker to a strategic advisor on risk management. This paper argues that the intersection of federal regulation in the United States with local economic dynamics in Miami creates a unique environment for audit innovation, necessitating new approaches to data analytics and ethical oversight.</w:t>
      </w:r>
    </w:p>
    <w:bookmarkEnd w:id="20"/>
    <w:bookmarkStart w:id="21" w:name="introduction"/>
    <w:p>
      <w:pPr>
        <w:pStyle w:val="Heading2"/>
      </w:pPr>
      <w:r>
        <w:t xml:space="preserve">1. Introduction</w:t>
      </w:r>
    </w:p>
    <w:p>
      <w:pPr>
        <w:pStyle w:val="FirstParagraph"/>
      </w:pPr>
      <w:r>
        <w:t xml:space="preserve">In an era defined by rapid digital transformation and globalized capital flows, the function of the</w:t>
      </w:r>
      <w:r>
        <w:t xml:space="preserve"> </w:t>
      </w:r>
      <w:r>
        <w:rPr>
          <w:bCs/>
          <w:b/>
        </w:rPr>
        <w:t xml:space="preserve">Auditor</w:t>
      </w:r>
      <w:r>
        <w:t xml:space="preserve"> </w:t>
      </w:r>
      <w:r>
        <w:t xml:space="preserve">has undergone a profound transformation. No longer confined to the retrospective examination of ledgers, modern auditing requires a proactive stance toward identifying risks, ensuring regulatory compliance, and enhancing operational efficiency. The United States remains at the forefront of this evolution, driven by stringent regulations imposed by bodies such as the Securities and Exchange Commission (SEC) and the Public Company Accounting Oversight Board (PCAOB). However, regional hubs play a pivotal role in implementing these national standards within a global context.</w:t>
      </w:r>
    </w:p>
    <w:p>
      <w:pPr>
        <w:pStyle w:val="BodyText"/>
      </w:pPr>
      <w:r>
        <w:t xml:space="preserve">Miami, Florida, has emerged as one of the most significant economic gateways between North America and Latin America. As a result, financial institutions operating in</w:t>
      </w:r>
      <w:r>
        <w:t xml:space="preserve"> </w:t>
      </w:r>
      <w:r>
        <w:rPr>
          <w:bCs/>
          <w:b/>
        </w:rPr>
        <w:t xml:space="preserve">United States Miami</w:t>
      </w:r>
      <w:r>
        <w:t xml:space="preserve"> </w:t>
      </w:r>
      <w:r>
        <w:t xml:space="preserve">face unique challenges regarding cross-border transactions, foreign exchange fluctuations, and diverse regulatory environments. This paper explores how auditors practicing in this dynamic locale must navigate these complexities while adhering to the rigorous standards of the</w:t>
      </w:r>
      <w:r>
        <w:t xml:space="preserve"> </w:t>
      </w:r>
      <w:r>
        <w:rPr>
          <w:bCs/>
          <w:b/>
        </w:rPr>
        <w:t xml:space="preserve">United States</w:t>
      </w:r>
      <w:r>
        <w:t xml:space="preserve">.</w:t>
      </w:r>
    </w:p>
    <w:bookmarkEnd w:id="21"/>
    <w:bookmarkStart w:id="22" w:name="Xdf150a5427e42bbb271ffe23e803bc32904e8e6"/>
    <w:p>
      <w:pPr>
        <w:pStyle w:val="Heading2"/>
      </w:pPr>
      <w:r>
        <w:t xml:space="preserve">2. The Regulatory Framework in the United States</w:t>
      </w:r>
    </w:p>
    <w:p>
      <w:pPr>
        <w:pStyle w:val="FirstParagraph"/>
      </w:pPr>
      <w:r>
        <w:t xml:space="preserve">The foundation of auditing practice in the</w:t>
      </w:r>
      <w:r>
        <w:t xml:space="preserve"> </w:t>
      </w:r>
      <w:r>
        <w:rPr>
          <w:bCs/>
          <w:b/>
        </w:rPr>
        <w:t xml:space="preserve">United States</w:t>
      </w:r>
      <w:r>
        <w:t xml:space="preserve"> </w:t>
      </w:r>
      <w:r>
        <w:t xml:space="preserve">is built upon a robust framework designed to protect investors and maintain public confidence in financial markets. The Sarbanes-Oxley Act of 2002 (SOX) marked a turning point, imposing stricter requirements on corporate governance and internal controls. For any</w:t>
      </w:r>
      <w:r>
        <w:t xml:space="preserve"> </w:t>
      </w:r>
      <w:r>
        <w:rPr>
          <w:bCs/>
          <w:b/>
        </w:rPr>
        <w:t xml:space="preserve">Auditor</w:t>
      </w:r>
      <w:r>
        <w:t xml:space="preserve">, understanding the implications of SOX Title IV—which mandates management assessment of internal control over financial reporting—is essential.</w:t>
      </w:r>
    </w:p>
    <w:p>
      <w:pPr>
        <w:pStyle w:val="BodyText"/>
      </w:pPr>
      <w:r>
        <w:t xml:space="preserve">Furthermore, the PCAOB plays a crucial role in overseeing the audits of public companies. The board conducts regular inspections to ensure that auditing firms comply with professional standards. In recent years, these inspections have highlighted issues related to audit quality, independence, and the use of technology. Auditors must therefore remain vigilant not only in their client engagements but also in their own internal quality control systems.</w:t>
      </w:r>
    </w:p>
    <w:bookmarkEnd w:id="22"/>
    <w:bookmarkStart w:id="23" w:name="miami-as-a-global-financial-hub"/>
    <w:p>
      <w:pPr>
        <w:pStyle w:val="Heading2"/>
      </w:pPr>
      <w:r>
        <w:t xml:space="preserve">3. Miami as a Global Financial Hub</w:t>
      </w:r>
    </w:p>
    <w:p>
      <w:pPr>
        <w:pStyle w:val="FirstParagraph"/>
      </w:pPr>
      <w:r>
        <w:t xml:space="preserve">Miami has experienced a surge in financial activity over the past decade, attracting multinational corporations, hedge funds, and fintech startups. This growth is partly due to tax incentives and its strategic geographic location. Consequently, the volume of audits conducted in</w:t>
      </w:r>
      <w:r>
        <w:t xml:space="preserve"> </w:t>
      </w:r>
      <w:r>
        <w:rPr>
          <w:bCs/>
          <w:b/>
        </w:rPr>
        <w:t xml:space="preserve">United States Miami</w:t>
      </w:r>
      <w:r>
        <w:t xml:space="preserve"> </w:t>
      </w:r>
      <w:r>
        <w:t xml:space="preserve">has increased significantly. However, this increase brings with it specific challenges:</w:t>
      </w:r>
    </w:p>
    <w:p>
      <w:pPr>
        <w:numPr>
          <w:ilvl w:val="0"/>
          <w:numId w:val="1001"/>
        </w:numPr>
        <w:pStyle w:val="Compact"/>
      </w:pPr>
      <w:r>
        <w:rPr>
          <w:bCs/>
          <w:b/>
        </w:rPr>
        <w:t xml:space="preserve">Cross-Border Complexity:</w:t>
      </w:r>
      <w:r>
        <w:t xml:space="preserve"> </w:t>
      </w:r>
      <w:r>
        <w:t xml:space="preserve">Many entities based in Miami have subsidiaries or major clients in Latin America and Europe. Auditors must assess the impact of foreign operations on consolidated financial statements.</w:t>
      </w:r>
    </w:p>
    <w:p>
      <w:pPr>
        <w:numPr>
          <w:ilvl w:val="0"/>
          <w:numId w:val="1001"/>
        </w:numPr>
        <w:pStyle w:val="Compact"/>
      </w:pPr>
      <w:r>
        <w:rPr>
          <w:bCs/>
          <w:b/>
        </w:rPr>
        <w:t xml:space="preserve">Diverse Stakeholder Expectations:</w:t>
      </w:r>
      <w:r>
        <w:t xml:space="preserve"> </w:t>
      </w:r>
      <w:r>
        <w:t xml:space="preserve">Investors from various jurisdictions may have different expectations regarding transparency and disclosure, requiring auditors to bridge cultural and regulatory gaps.</w:t>
      </w:r>
    </w:p>
    <w:p>
      <w:pPr>
        <w:numPr>
          <w:ilvl w:val="0"/>
          <w:numId w:val="1001"/>
        </w:numPr>
        <w:pStyle w:val="Compact"/>
      </w:pPr>
      <w:r>
        <w:rPr>
          <w:bCs/>
          <w:b/>
        </w:rPr>
        <w:t xml:space="preserve">Rapid Technological Adoption:</w:t>
      </w:r>
      <w:r>
        <w:t xml:space="preserve"> </w:t>
      </w:r>
      <w:r>
        <w:t xml:space="preserve">Miami’s fintech sector drives innovation in financial services. Auditors must understand blockchain technology, smart contracts, and digital currencies to effectively audit these emerging assets.</w:t>
      </w:r>
    </w:p>
    <w:p>
      <w:pPr>
        <w:pStyle w:val="FirstParagraph"/>
      </w:pPr>
      <w:r>
        <w:t xml:space="preserve">The local auditing community in Miami must therefore possess a dual competency: mastery of</w:t>
      </w:r>
      <w:r>
        <w:t xml:space="preserve"> </w:t>
      </w:r>
      <w:r>
        <w:rPr>
          <w:bCs/>
          <w:b/>
        </w:rPr>
        <w:t xml:space="preserve">United States</w:t>
      </w:r>
      <w:r>
        <w:t xml:space="preserve"> </w:t>
      </w:r>
      <w:r>
        <w:t xml:space="preserve">GAAP (Generally Accepted Accounting Principles) or IFRS (International Financial Reporting Standards), and an understanding of the international business practices prevalent in the region.</w:t>
      </w:r>
    </w:p>
    <w:bookmarkEnd w:id="23"/>
    <w:bookmarkStart w:id="24" w:name="the-changing-role-of-the-auditor"/>
    <w:p>
      <w:pPr>
        <w:pStyle w:val="Heading2"/>
      </w:pPr>
      <w:r>
        <w:t xml:space="preserve">4. The Changing Role of the Auditor</w:t>
      </w:r>
    </w:p>
    <w:p>
      <w:pPr>
        <w:pStyle w:val="FirstParagraph"/>
      </w:pPr>
      <w:r>
        <w:t xml:space="preserve">The traditional model of auditing is being disrupted by technology. Artificial intelligence (AI) and machine learning are enabling auditors to analyze entire datasets rather than relying on sampling techniques. This shift allows for more comprehensive risk assessment and detection of anomalies that might otherwise go unnoticed.</w:t>
      </w:r>
    </w:p>
    <w:p>
      <w:pPr>
        <w:pStyle w:val="BodyText"/>
      </w:pPr>
      <w:r>
        <w:t xml:space="preserve">In the context of</w:t>
      </w:r>
      <w:r>
        <w:t xml:space="preserve"> </w:t>
      </w:r>
      <w:r>
        <w:rPr>
          <w:bCs/>
          <w:b/>
        </w:rPr>
        <w:t xml:space="preserve">United States Miami</w:t>
      </w:r>
      <w:r>
        <w:t xml:space="preserve">, where speed and accuracy are paramount due to the fast-paced nature of international trade, these technologies are particularly valuable. An</w:t>
      </w:r>
      <w:r>
        <w:t xml:space="preserve"> </w:t>
      </w:r>
      <w:r>
        <w:rPr>
          <w:bCs/>
          <w:b/>
        </w:rPr>
        <w:t xml:space="preserve">Auditor</w:t>
      </w:r>
      <w:r>
        <w:t xml:space="preserve"> </w:t>
      </w:r>
      <w:r>
        <w:t xml:space="preserve">utilizing data analytics can provide real-time insights to management, enhancing the value proposition of audit services beyond mere compliance.</w:t>
      </w:r>
    </w:p>
    <w:p>
      <w:pPr>
        <w:pStyle w:val="BodyText"/>
      </w:pPr>
      <w:r>
        <w:t xml:space="preserve">Moreover, the role of the auditor is expanding into non-financial reporting. Environmental, Social, and Governance (ESG) criteria are becoming increasingly important to investors. Auditors are now tasked with verifying sustainability reports and ensuring that companies meet their stated environmental goals. This trend is particularly relevant in</w:t>
      </w:r>
      <w:r>
        <w:t xml:space="preserve"> </w:t>
      </w:r>
      <w:r>
        <w:rPr>
          <w:bCs/>
          <w:b/>
        </w:rPr>
        <w:t xml:space="preserve">Miami</w:t>
      </w:r>
      <w:r>
        <w:t xml:space="preserve">, where climate change risks pose a direct threat to local assets, making ESG assurance a critical service.</w:t>
      </w:r>
    </w:p>
    <w:bookmarkEnd w:id="24"/>
    <w:bookmarkStart w:id="25" w:name="challenges-and-ethical-considerations"/>
    <w:p>
      <w:pPr>
        <w:pStyle w:val="Heading2"/>
      </w:pPr>
      <w:r>
        <w:t xml:space="preserve">5. Challenges and Ethical Considerations</w:t>
      </w:r>
    </w:p>
    <w:p>
      <w:pPr>
        <w:pStyle w:val="FirstParagraph"/>
      </w:pPr>
      <w:r>
        <w:t xml:space="preserve">Despite technological advancements, the core of auditing remains rooted in ethics and professional skepticism. The independence of the</w:t>
      </w:r>
      <w:r>
        <w:t xml:space="preserve"> </w:t>
      </w:r>
      <w:r>
        <w:rPr>
          <w:bCs/>
          <w:b/>
        </w:rPr>
        <w:t xml:space="preserve">Auditor</w:t>
      </w:r>
      <w:r>
        <w:t xml:space="preserve"> </w:t>
      </w:r>
      <w:r>
        <w:t xml:space="preserve">is paramount to the credibility of financial statements. In a competitive market like Miami, where firms may face pressure to retain clients through non-audit services, maintaining strict ethical boundaries can be challenging.</w:t>
      </w:r>
    </w:p>
    <w:p>
      <w:pPr>
        <w:pStyle w:val="BodyText"/>
      </w:pPr>
      <w:r>
        <w:t xml:space="preserve">The PCAOB continues to emphasize the importance of auditor independence and objectivity. Any perceived conflict of interest can undermine public trust. Therefore, auditing firms must implement rigorous safeguards to ensure that their staff remain free from bias or undue influence. This is especially critical when dealing with complex international structures where relationships between parent companies and foreign subsidiaries may obscure true ownership or control.</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Auditor</w:t>
      </w:r>
      <w:r>
        <w:t xml:space="preserve"> </w:t>
      </w:r>
      <w:r>
        <w:t xml:space="preserve">in the modern economic landscape is more critical than ever. As demonstrated by the specific dynamics of</w:t>
      </w:r>
      <w:r>
        <w:t xml:space="preserve"> </w:t>
      </w:r>
      <w:r>
        <w:rPr>
          <w:bCs/>
          <w:b/>
        </w:rPr>
        <w:t xml:space="preserve">United States Miami</w:t>
      </w:r>
      <w:r>
        <w:t xml:space="preserve">, auditors must be adaptable, tech-savvy, and ethically grounded. The convergence of federal regulations in the</w:t>
      </w:r>
      <w:r>
        <w:t xml:space="preserve"> </w:t>
      </w:r>
      <w:r>
        <w:rPr>
          <w:bCs/>
          <w:b/>
        </w:rPr>
        <w:t xml:space="preserve">United States</w:t>
      </w:r>
      <w:r>
        <w:t xml:space="preserve"> </w:t>
      </w:r>
      <w:r>
        <w:t xml:space="preserve">with regional economic realities requires a nuanced approach to auditing practice.</w:t>
      </w:r>
    </w:p>
    <w:p>
      <w:pPr>
        <w:pStyle w:val="BodyText"/>
      </w:pPr>
      <w:r>
        <w:t xml:space="preserve">To remain effective, auditing professionals must embrace continuous learning and technological integration. They must also champion transparency and accountability in all their engagements. By doing so, they not only comply with regulatory requirements but also contribute to the stability and growth of the global financial system. Future research should focus on the long-term impact of AI on audit quality and how regional hubs like Miami can serve as models for integrating international standards with local market needs.</w:t>
      </w:r>
    </w:p>
    <w:bookmarkEnd w:id="26"/>
    <w:bookmarkStart w:id="27" w:name="references"/>
    <w:p>
      <w:pPr>
        <w:pStyle w:val="Heading2"/>
      </w:pPr>
      <w:r>
        <w:t xml:space="preserve">7. References</w:t>
      </w:r>
    </w:p>
    <w:p>
      <w:pPr>
        <w:pStyle w:val="FirstParagraph"/>
      </w:pPr>
      <w:r>
        <w:t xml:space="preserve">[1] Public Company Accounting Oversight Board (PCAOB). (2023). *Annual Report to the Congress*. Washington, D.C.: PCAOB.</w:t>
      </w:r>
    </w:p>
    <w:p>
      <w:pPr>
        <w:pStyle w:val="BodyText"/>
      </w:pPr>
      <w:r>
        <w:t xml:space="preserve">[2] Securities and Exchange Commission. (2024). *Guidance on Auditor Independence and Non-Audit Services*. Washington, D.C.: SEC.</w:t>
      </w:r>
    </w:p>
    <w:p>
      <w:pPr>
        <w:pStyle w:val="BodyText"/>
      </w:pPr>
      <w:r>
        <w:t xml:space="preserve">[3] American Institute of Certified Public Accountants. (2023). *The Future of Auditing: Technology and Ethics*. New York: AICPA.</w:t>
      </w:r>
    </w:p>
    <w:p>
      <w:pPr>
        <w:pStyle w:val="BodyText"/>
      </w:pPr>
      <w:r>
        <w:t xml:space="preserve">[4] Miami-Dade County Economic Development Office. (2024). *Economic Impact Report: Finance and Professional Services*. Miami, FL.</w:t>
      </w:r>
    </w:p>
    <w:p>
      <w:pPr>
        <w:pStyle w:val="BodyText"/>
      </w:pPr>
      <w:r>
        <w:t xml:space="preserve">[5] International Federation of Accountants. (2023). *Global Trends in Audit Quality*. New York: IFAC.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Audit Practices in the Modern Economic Landscape: A Focus on the United States, Miami, and Global Standards</dc:title>
  <dc:creator/>
  <cp:keywords/>
  <dcterms:created xsi:type="dcterms:W3CDTF">2026-07-29T18:04:04Z</dcterms:created>
  <dcterms:modified xsi:type="dcterms:W3CDTF">2026-07-29T18:04:04Z</dcterms:modified>
</cp:coreProperties>
</file>

<file path=docProps/custom.xml><?xml version="1.0" encoding="utf-8"?>
<Properties xmlns="http://schemas.openxmlformats.org/officeDocument/2006/custom-properties" xmlns:vt="http://schemas.openxmlformats.org/officeDocument/2006/docPropsVTypes"/>
</file>