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Venezuela</w:t>
      </w:r>
      <w:r>
        <w:t xml:space="preserve"> </w:t>
      </w:r>
      <w:r>
        <w:t xml:space="preserve">Caracas:</w:t>
      </w:r>
      <w:r>
        <w:t xml:space="preserve"> </w:t>
      </w:r>
      <w:r>
        <w:t xml:space="preserve">Navigating</w:t>
      </w:r>
      <w:r>
        <w:t xml:space="preserve"> </w:t>
      </w:r>
      <w:r>
        <w:t xml:space="preserve">Economic</w:t>
      </w:r>
      <w:r>
        <w:t xml:space="preserve"> </w:t>
      </w:r>
      <w:r>
        <w:t xml:space="preserve">Volatility</w:t>
      </w:r>
      <w:r>
        <w:t xml:space="preserve"> </w:t>
      </w:r>
      <w:r>
        <w:t xml:space="preserve">and</w:t>
      </w:r>
      <w:r>
        <w:t xml:space="preserve"> </w:t>
      </w:r>
      <w:r>
        <w:t xml:space="preserve">Regulatory</w:t>
      </w:r>
      <w:r>
        <w:t xml:space="preserve"> </w:t>
      </w:r>
      <w:r>
        <w:t xml:space="preserve">Complexity</w:t>
      </w:r>
    </w:p>
    <w:bookmarkStart w:id="30" w:name="X3f7fd41b8719dc14aba366ddbc4ea1b7d730ae2"/>
    <w:p>
      <w:pPr>
        <w:pStyle w:val="Heading1"/>
      </w:pPr>
      <w:r>
        <w:t xml:space="preserve">The Evolving Role of the Auditor in Venezuela Caracas: Navigating Economic Volatility and Regulatory Complexity</w:t>
      </w:r>
    </w:p>
    <w:p>
      <w:pPr>
        <w:pStyle w:val="FirstParagraph"/>
      </w:pPr>
      <w:r>
        <w:t xml:space="preserve">Conference Paper Presented at the Latin American Financial Integrity Summit 2023</w:t>
      </w:r>
      <w:r>
        <w:br/>
      </w:r>
      <w:r>
        <w:rPr>
          <w:bCs/>
          <w:b/>
        </w:rPr>
        <w:t xml:space="preserve">Afiliado Institute for Professional Standards, Caracas, Venezuela</w:t>
      </w:r>
    </w:p>
    <w:p>
      <w:r>
        <w:pict>
          <v:rect style="width:0;height:1.5pt" o:hralign="center" o:hrstd="t" o:hr="t"/>
        </w:pict>
      </w:r>
    </w:p>
    <w:bookmarkStart w:id="20" w:name="abstract"/>
    <w:p>
      <w:pPr>
        <w:pStyle w:val="Heading2"/>
      </w:pPr>
      <w:r>
        <w:t xml:space="preserve">Abstract</w:t>
      </w:r>
    </w:p>
    <w:p>
      <w:pPr>
        <w:pStyle w:val="FirstParagraph"/>
      </w:pPr>
      <w:r>
        <w:t xml:space="preserve">This conference paper examines the critical and multifaceted role of the</w:t>
      </w:r>
      <w:r>
        <w:t xml:space="preserve"> </w:t>
      </w:r>
      <w:r>
        <w:rPr>
          <w:bCs/>
          <w:b/>
        </w:rPr>
        <w:t xml:space="preserve">Auditor</w:t>
      </w:r>
      <w:r>
        <w:t xml:space="preserve"> </w:t>
      </w:r>
      <w:r>
        <w:t xml:space="preserve">within the unique economic and regulatory landscape of</w:t>
      </w:r>
      <w:r>
        <w:t xml:space="preserve"> </w:t>
      </w:r>
      <w:r>
        <w:rPr>
          <w:bCs/>
          <w:b/>
        </w:rPr>
        <w:t xml:space="preserve">Venezuela Caracas</w:t>
      </w:r>
      <w:r>
        <w:t xml:space="preserve">. Despite a decade marked by severe hyperinflation, currency devaluation, and stringent state controls on foreign exchange, professional auditing has not only persisted but evolved into a vital instrument for transparency. This study analyzes how auditors in</w:t>
      </w:r>
      <w:r>
        <w:t xml:space="preserve"> </w:t>
      </w:r>
      <w:r>
        <w:rPr>
          <w:bCs/>
          <w:b/>
        </w:rPr>
        <w:t xml:space="preserve">Venezuela Caracas</w:t>
      </w:r>
      <w:r>
        <w:t xml:space="preserve"> </w:t>
      </w:r>
      <w:r>
        <w:t xml:space="preserve">adapt to volatile fiscal environments, comply with evolving local regulations such as those imposed by the Superintendencia Nacional de Auditoría (SUNDDE), and bridge gaps caused by international sanctions. The findings suggest that while challenges are formidable, the strategic application of International Standards on Auditing (ISA) within a localized context provides essential stability for both private enterprises and public institutions in</w:t>
      </w:r>
      <w:r>
        <w:t xml:space="preserve"> </w:t>
      </w:r>
      <w:r>
        <w:rPr>
          <w:bCs/>
          <w:b/>
        </w:rPr>
        <w:t xml:space="preserve">Venezuela Caracas</w:t>
      </w:r>
      <w:r>
        <w:t xml:space="preserve">.</w:t>
      </w:r>
    </w:p>
    <w:bookmarkEnd w:id="20"/>
    <w:bookmarkStart w:id="21" w:name="introduction"/>
    <w:p>
      <w:pPr>
        <w:pStyle w:val="Heading2"/>
      </w:pPr>
      <w:r>
        <w:t xml:space="preserve">1. Introduction</w:t>
      </w:r>
    </w:p>
    <w:p>
      <w:pPr>
        <w:pStyle w:val="FirstParagraph"/>
      </w:pPr>
      <w:r>
        <w:t xml:space="preserve">The profession of auditing serves as the backbone of financial trust globally. However, its application becomes significantly more complex in emerging markets experiencing acute economic distress. In the context of</w:t>
      </w:r>
      <w:r>
        <w:t xml:space="preserve"> </w:t>
      </w:r>
      <w:r>
        <w:rPr>
          <w:bCs/>
          <w:b/>
        </w:rPr>
        <w:t xml:space="preserve">Venezuela Caracas</w:t>
      </w:r>
      <w:r>
        <w:t xml:space="preserve">, the role extends beyond traditional financial verification to encompass survival strategy, regulatory compliance under crisis conditions, and corporate governance under extreme pressure. For decades,</w:t>
      </w:r>
      <w:r>
        <w:t xml:space="preserve"> </w:t>
      </w:r>
      <w:r>
        <w:rPr>
          <w:bCs/>
          <w:b/>
        </w:rPr>
        <w:t xml:space="preserve">Venezuela Caracas</w:t>
      </w:r>
      <w:r>
        <w:t xml:space="preserve"> </w:t>
      </w:r>
      <w:r>
        <w:t xml:space="preserve">has been an economic hub with rich natural resources; yet recent years have seen a contraction in formal economic activity.</w:t>
      </w:r>
    </w:p>
    <w:p>
      <w:pPr>
        <w:pStyle w:val="BodyText"/>
      </w:pPr>
      <w:r>
        <w:t xml:space="preserve">In this setting, the</w:t>
      </w:r>
      <w:r>
        <w:t xml:space="preserve"> </w:t>
      </w:r>
      <w:r>
        <w:rPr>
          <w:bCs/>
          <w:b/>
        </w:rPr>
        <w:t xml:space="preserve">Auditor</w:t>
      </w:r>
      <w:r>
        <w:t xml:space="preserve"> </w:t>
      </w:r>
      <w:r>
        <w:t xml:space="preserve">is no longer merely a reviewer of historical financial data but acts as a forensic investigator, strategic advisor, and compliance officer. The purpose of this paper is to dissect these expanded duties. We argue that the modern auditor operating in</w:t>
      </w:r>
      <w:r>
        <w:t xml:space="preserve"> </w:t>
      </w:r>
      <w:r>
        <w:rPr>
          <w:bCs/>
          <w:b/>
        </w:rPr>
        <w:t xml:space="preserve">Venezuela Caracas</w:t>
      </w:r>
      <w:r>
        <w:t xml:space="preserve"> </w:t>
      </w:r>
      <w:r>
        <w:t xml:space="preserve">must possess not only technical accounting knowledge but also deep expertise in monetary policy shifts and political risk analysis.</w:t>
      </w:r>
    </w:p>
    <w:bookmarkEnd w:id="21"/>
    <w:bookmarkStart w:id="22" w:name="X9c341588909a398ed5f11933ba693aa0872bd71"/>
    <w:p>
      <w:pPr>
        <w:pStyle w:val="Heading2"/>
      </w:pPr>
      <w:r>
        <w:t xml:space="preserve">2. Regulatory Framework and Compliance Challenges</w:t>
      </w:r>
    </w:p>
    <w:p>
      <w:pPr>
        <w:pStyle w:val="FirstParagraph"/>
      </w:pPr>
      <w:r>
        <w:t xml:space="preserve">The regulatory environment for an auditor in</w:t>
      </w:r>
      <w:r>
        <w:t xml:space="preserve"> </w:t>
      </w:r>
      <w:r>
        <w:rPr>
          <w:bCs/>
          <w:b/>
        </w:rPr>
        <w:t xml:space="preserve">Venezuela Caracas</w:t>
      </w:r>
      <w:r>
        <w:t xml:space="preserve"> </w:t>
      </w:r>
      <w:r>
        <w:t xml:space="preserve">is characterized by high complexity. The primary challenge arises from the dual-track economy, where official exchange rates often diverge significantly from market realities (parallel markets). Historically, auditors relied on stable monetary units to value assets and liabilities. However, under the current regime of multiple exchange rates in</w:t>
      </w:r>
      <w:r>
        <w:t xml:space="preserve"> </w:t>
      </w:r>
      <w:r>
        <w:rPr>
          <w:bCs/>
          <w:b/>
        </w:rPr>
        <w:t xml:space="preserve">Venezuela Caracas</w:t>
      </w:r>
      <w:r>
        <w:t xml:space="preserve">, determining the fair value of financial statements requires sophisticated modeling.</w:t>
      </w:r>
    </w:p>
    <w:p>
      <w:pPr>
        <w:pStyle w:val="BodyText"/>
      </w:pPr>
      <w:r>
        <w:t xml:space="preserve">The Superintendencia Nacional de Auditoría (SUNDDE) has exerted rigorous oversight, particularly focusing on price controls and foreign currency regulations. Consequently, an auditor must ensure that entities comply not just with International Financial Reporting Standards (IFRS), which are generally adopted in</w:t>
      </w:r>
      <w:r>
        <w:t xml:space="preserve"> </w:t>
      </w:r>
      <w:r>
        <w:rPr>
          <w:bCs/>
          <w:b/>
        </w:rPr>
        <w:t xml:space="preserve">Venezuela Caracas</w:t>
      </w:r>
      <w:r>
        <w:t xml:space="preserve">, but also with local decrees regarding exchange controls. This dual compliance burden increases the liability and workload of every licensed</w:t>
      </w:r>
      <w:r>
        <w:t xml:space="preserve"> </w:t>
      </w:r>
      <w:r>
        <w:rPr>
          <w:bCs/>
          <w:b/>
        </w:rPr>
        <w:t xml:space="preserve">Auditor</w:t>
      </w:r>
      <w:r>
        <w:t xml:space="preserve">. Failure to properly disclose hyperinflation adjustments or currency translation variances can lead to severe legal repercussions for professionals practicing in</w:t>
      </w:r>
      <w:r>
        <w:t xml:space="preserve"> </w:t>
      </w:r>
      <w:r>
        <w:rPr>
          <w:bCs/>
          <w:b/>
        </w:rPr>
        <w:t xml:space="preserve">Venezuela Caracas</w:t>
      </w:r>
      <w:r>
        <w:t xml:space="preserve">.</w:t>
      </w:r>
    </w:p>
    <w:bookmarkEnd w:id="22"/>
    <w:bookmarkStart w:id="23" w:name="X37c5ae56d322c06e70e15b73aeac0bfa591ec7b"/>
    <w:p>
      <w:pPr>
        <w:pStyle w:val="Heading2"/>
      </w:pPr>
      <w:r>
        <w:t xml:space="preserve">3. Technological Adaptation in High-Inflation Environments</w:t>
      </w:r>
    </w:p>
    <w:p>
      <w:pPr>
        <w:pStyle w:val="FirstParagraph"/>
      </w:pPr>
      <w:r>
        <w:t xml:space="preserve">Inflation rates that have occasionally exceeded thousands of percent annually require auditors to perform continuous rather than periodic valuations. In</w:t>
      </w:r>
      <w:r>
        <w:t xml:space="preserve"> </w:t>
      </w:r>
      <w:r>
        <w:rPr>
          <w:bCs/>
          <w:b/>
        </w:rPr>
        <w:t xml:space="preserve">Venezuela Caracas</w:t>
      </w:r>
      <w:r>
        <w:t xml:space="preserve">, the standard annual audit cycle is often insufficient for maintaining accurate records for management decision-making. Therefore, the role of the</w:t>
      </w:r>
      <w:r>
        <w:t xml:space="preserve"> </w:t>
      </w:r>
      <w:r>
        <w:rPr>
          <w:bCs/>
          <w:b/>
        </w:rPr>
        <w:t xml:space="preserve">Auditor</w:t>
      </w:r>
      <w:r>
        <w:t xml:space="preserve"> </w:t>
      </w:r>
      <w:r>
        <w:t xml:space="preserve">has shifted toward continuous auditing methodologies.</w:t>
      </w:r>
    </w:p>
    <w:p>
      <w:pPr>
        <w:pStyle w:val="BodyText"/>
      </w:pPr>
      <w:r>
        <w:t xml:space="preserve">This shift demands proficiency in digital tools that can handle rapid currency fluctuations. Auditors operating in</w:t>
      </w:r>
      <w:r>
        <w:t xml:space="preserve"> </w:t>
      </w:r>
      <w:r>
        <w:rPr>
          <w:bCs/>
          <w:b/>
        </w:rPr>
        <w:t xml:space="preserve">Venezuela Caracas</w:t>
      </w:r>
      <w:r>
        <w:t xml:space="preserve"> </w:t>
      </w:r>
      <w:r>
        <w:t xml:space="preserve">must be adept at using accounting software capable of multi-currency tracking and real-time exchange rate integration. Furthermore, the lack of reliable electricity and internet infrastructure in certain areas presents logistical hurdles for digital forensics, requiring auditors to develop offline-capable verification protocols before presenting findings in the capital city.</w:t>
      </w:r>
    </w:p>
    <w:bookmarkEnd w:id="23"/>
    <w:bookmarkStart w:id="24" w:name="the-auditor-as-a-guardian-against-fraud"/>
    <w:p>
      <w:pPr>
        <w:pStyle w:val="Heading2"/>
      </w:pPr>
      <w:r>
        <w:t xml:space="preserve">4. The Auditor as a Guardian Against Fraud</w:t>
      </w:r>
    </w:p>
    <w:p>
      <w:pPr>
        <w:pStyle w:val="FirstParagraph"/>
      </w:pPr>
      <w:r>
        <w:t xml:space="preserve">Economic desperation often breeds fraud. In the competitive yet resource-constrained business environment of</w:t>
      </w:r>
      <w:r>
        <w:t xml:space="preserve"> </w:t>
      </w:r>
      <w:r>
        <w:rPr>
          <w:bCs/>
          <w:b/>
        </w:rPr>
        <w:t xml:space="preserve">Venezuela Caracas</w:t>
      </w:r>
      <w:r>
        <w:t xml:space="preserve">, instances of asset stripping, related-party transactions lacking transparency, and manipulation of inventory levels are prevalent risks. The</w:t>
      </w:r>
      <w:r>
        <w:t xml:space="preserve"> </w:t>
      </w:r>
      <w:r>
        <w:rPr>
          <w:bCs/>
          <w:b/>
        </w:rPr>
        <w:t xml:space="preserve">Auditor</w:t>
      </w:r>
      <w:r>
        <w:t xml:space="preserve"> </w:t>
      </w:r>
      <w:r>
        <w:t xml:space="preserve">plays a pivotal role in detecting these irregularities.</w:t>
      </w:r>
    </w:p>
    <w:p>
      <w:pPr>
        <w:pStyle w:val="BodyText"/>
      </w:pPr>
      <w:r>
        <w:t xml:space="preserve">We observe that auditors in this region often act as internal consultants to prevent fraud before it occurs. Through robust internal control assessments, they help corporations navigate the gray areas of import restrictions and tax obligations. This proactive approach is particularly vital for multinational corporations operating subsidiaries in</w:t>
      </w:r>
      <w:r>
        <w:t xml:space="preserve"> </w:t>
      </w:r>
      <w:r>
        <w:rPr>
          <w:bCs/>
          <w:b/>
        </w:rPr>
        <w:t xml:space="preserve">Venezuela Caracas</w:t>
      </w:r>
      <w:r>
        <w:t xml:space="preserve">, who face immense pressure from global headquarters to maintain profitability despite local distortions.</w:t>
      </w:r>
    </w:p>
    <w:bookmarkEnd w:id="24"/>
    <w:bookmarkStart w:id="25" w:name="professional-ethics-and-independence"/>
    <w:p>
      <w:pPr>
        <w:pStyle w:val="Heading2"/>
      </w:pPr>
      <w:r>
        <w:t xml:space="preserve">5. Professional Ethics and Independence</w:t>
      </w:r>
    </w:p>
    <w:p>
      <w:pPr>
        <w:pStyle w:val="FirstParagraph"/>
      </w:pPr>
      <w:r>
        <w:t xml:space="preserve">The concept of professional independence faces unique threats in</w:t>
      </w:r>
      <w:r>
        <w:t xml:space="preserve"> </w:t>
      </w:r>
      <w:r>
        <w:rPr>
          <w:bCs/>
          <w:b/>
        </w:rPr>
        <w:t xml:space="preserve">Venezuela Caracas</w:t>
      </w:r>
      <w:r>
        <w:t xml:space="preserve">. Political pressure can sometimes influence regulatory outcomes or business operations, potentially compromising the objectivity required by an auditor. Furthermore, the brain drain—where many skilled professionals have emigrated—has reduced the pool of available audit talent, leading to increased workloads for remaining auditors and raising risks of burnout and ethical lapses.</w:t>
      </w:r>
    </w:p>
    <w:p>
      <w:pPr>
        <w:pStyle w:val="BodyText"/>
      </w:pPr>
      <w:r>
        <w:t xml:space="preserve">Maintaining ethical standards is paramount. The paper posits that continuing education focused on ethics in crisis management is essential for</w:t>
      </w:r>
      <w:r>
        <w:t xml:space="preserve"> </w:t>
      </w:r>
      <w:r>
        <w:rPr>
          <w:bCs/>
          <w:b/>
        </w:rPr>
        <w:t xml:space="preserve">Auditor</w:t>
      </w:r>
      <w:r>
        <w:t xml:space="preserve"> </w:t>
      </w:r>
      <w:r>
        <w:t xml:space="preserve">associations in</w:t>
      </w:r>
      <w:r>
        <w:t xml:space="preserve"> </w:t>
      </w:r>
      <w:r>
        <w:rPr>
          <w:bCs/>
          <w:b/>
        </w:rPr>
        <w:t xml:space="preserve">Venezuela Caracas</w:t>
      </w:r>
      <w:r>
        <w:t xml:space="preserve">. Professional bodies must support their members by providing clear guidelines on how to navigate politically sensitive disclosures without violating local laws or compromising professional integrity.</w:t>
      </w:r>
    </w:p>
    <w:bookmarkEnd w:id="25"/>
    <w:bookmarkStart w:id="26" w:name="Xaea491080940936493c1ca9d5fde52f747590bf"/>
    <w:p>
      <w:pPr>
        <w:pStyle w:val="Heading2"/>
      </w:pPr>
      <w:r>
        <w:t xml:space="preserve">6. Case Analysis: Audit Adaptations in the Private Sector</w:t>
      </w:r>
    </w:p>
    <w:p>
      <w:pPr>
        <w:pStyle w:val="FirstParagraph"/>
      </w:pPr>
      <w:r>
        <w:t xml:space="preserve">A brief analysis of select private sector entities in</w:t>
      </w:r>
      <w:r>
        <w:t xml:space="preserve"> </w:t>
      </w:r>
      <w:r>
        <w:rPr>
          <w:bCs/>
          <w:b/>
        </w:rPr>
        <w:t xml:space="preserve">Venezuela Caracas</w:t>
      </w:r>
      <w:r>
        <w:t xml:space="preserve">, including those in telecommunications and retail, highlights successful adaptation strategies. Companies that engaged external auditors early during currency devaluations were better positioned to renegotiate debt covenants with international lenders. These case studies demonstrate that the presence of a rigorous</w:t>
      </w:r>
      <w:r>
        <w:t xml:space="preserve"> </w:t>
      </w:r>
      <w:r>
        <w:rPr>
          <w:bCs/>
          <w:b/>
        </w:rPr>
        <w:t xml:space="preserve">Auditor</w:t>
      </w:r>
      <w:r>
        <w:t xml:space="preserve"> </w:t>
      </w:r>
      <w:r>
        <w:t xml:space="preserve">provides a level of credibility that attracts foreign investment despite national risks.</w:t>
      </w:r>
    </w:p>
    <w:p>
      <w:pPr>
        <w:pStyle w:val="BodyText"/>
      </w:pPr>
      <w:r>
        <w:t xml:space="preserve">In these instances, auditors provided not just assurance, but also strategic insights into how to value assets in USD-equivalents while reporting in Bolivares for local tax purposes. This bridging function is unique to the current era of auditing in</w:t>
      </w:r>
      <w:r>
        <w:t xml:space="preserve"> </w:t>
      </w:r>
      <w:r>
        <w:rPr>
          <w:bCs/>
          <w:b/>
        </w:rPr>
        <w:t xml:space="preserve">Venezuela Caracas</w:t>
      </w:r>
      <w:r>
        <w:t xml:space="preserve">.</w:t>
      </w:r>
    </w:p>
    <w:bookmarkEnd w:id="26"/>
    <w:bookmarkStart w:id="27" w:name="future-outlook-and-recommendations"/>
    <w:p>
      <w:pPr>
        <w:pStyle w:val="Heading2"/>
      </w:pPr>
      <w:r>
        <w:t xml:space="preserve">7. Future Outlook and Recommendations</w:t>
      </w:r>
    </w:p>
    <w:p>
      <w:pPr>
        <w:pStyle w:val="FirstParagraph"/>
      </w:pPr>
      <w:r>
        <w:t xml:space="preserve">The future of auditing in</w:t>
      </w:r>
      <w:r>
        <w:t xml:space="preserve"> </w:t>
      </w:r>
      <w:r>
        <w:rPr>
          <w:bCs/>
          <w:b/>
        </w:rPr>
        <w:t xml:space="preserve">Venezuela Caracas</w:t>
      </w:r>
    </w:p>
    <w:p>
      <w:pPr>
        <w:numPr>
          <w:ilvl w:val="0"/>
          <w:numId w:val="1001"/>
        </w:numPr>
        <w:pStyle w:val="Compact"/>
      </w:pPr>
      <w:r>
        <w:rPr>
          <w:bCs/>
          <w:b/>
        </w:rPr>
        <w:t xml:space="preserve">Digital Transformation:</w:t>
      </w:r>
      <w:r>
        <w:t xml:space="preserve"> </w:t>
      </w:r>
      <w:r>
        <w:t xml:space="preserve">Increased investment in audit technology that supports automated currency conversion and data integrity checks.</w:t>
      </w:r>
    </w:p>
    <w:p>
      <w:pPr>
        <w:numPr>
          <w:ilvl w:val="0"/>
          <w:numId w:val="1001"/>
        </w:numPr>
        <w:pStyle w:val="Compact"/>
      </w:pPr>
      <w:r>
        <w:rPr>
          <w:bCs/>
          <w:b/>
        </w:rPr>
        <w:t xml:space="preserve">Holistic Training:</w:t>
      </w:r>
      <w:r>
        <w:t xml:space="preserve"> </w:t>
      </w:r>
      <w:r>
        <w:t xml:space="preserve">Auditing curricula in Venezuela must expand to include macroeconomics, political risk analysis, and forensic accounting to prepare the next generation of</w:t>
      </w:r>
      <w:r>
        <w:t xml:space="preserve"> </w:t>
      </w:r>
      <w:r>
        <w:rPr>
          <w:bCs/>
          <w:b/>
        </w:rPr>
        <w:t xml:space="preserve">Auditor</w:t>
      </w:r>
      <w:r>
        <w:t xml:space="preserve">s.</w:t>
      </w:r>
    </w:p>
    <w:p>
      <w:pPr>
        <w:numPr>
          <w:ilvl w:val="0"/>
          <w:numId w:val="1001"/>
        </w:numPr>
        <w:pStyle w:val="Compact"/>
      </w:pPr>
      <w:r>
        <w:rPr>
          <w:bCs/>
          <w:b/>
        </w:rPr>
        <w:t xml:space="preserve">International Cooperation:</w:t>
      </w:r>
      <w:r>
        <w:t xml:space="preserve"> </w:t>
      </w:r>
      <w:r>
        <w:t xml:space="preserve">Strengthening ties with global auditing bodies can help maintain high standards even when local regulatory frameworks are in flux.</w:t>
      </w:r>
    </w:p>
    <w:bookmarkEnd w:id="27"/>
    <w:bookmarkStart w:id="28" w:name="conclusion"/>
    <w:p>
      <w:pPr>
        <w:pStyle w:val="Heading2"/>
      </w:pPr>
      <w:r>
        <w:t xml:space="preserve">8. Conclusion</w:t>
      </w:r>
    </w:p>
    <w:p>
      <w:pPr>
        <w:pStyle w:val="FirstParagraph"/>
      </w:pPr>
      <w:r>
        <w:t xml:space="preserve">The role of the</w:t>
      </w:r>
      <w:r>
        <w:t xml:space="preserve"> </w:t>
      </w:r>
      <w:r>
        <w:rPr>
          <w:bCs/>
          <w:b/>
        </w:rPr>
        <w:t xml:space="preserve">Auditor</w:t>
      </w:r>
      <w:r>
        <w:t xml:space="preserve"> </w:t>
      </w:r>
      <w:r>
        <w:t xml:space="preserve">in</w:t>
      </w:r>
      <w:r>
        <w:t xml:space="preserve"> </w:t>
      </w:r>
      <w:r>
        <w:rPr>
          <w:bCs/>
          <w:b/>
        </w:rPr>
        <w:t xml:space="preserve">Venezuela Caracas</w:t>
      </w:r>
    </w:p>
    <w:p>
      <w:pPr>
        <w:pStyle w:val="BodyText"/>
      </w:pPr>
      <w:r>
        <w:t xml:space="preserve">Ultimately, the resilience of auditing professionals in</w:t>
      </w:r>
      <w:r>
        <w:t xml:space="preserve"> </w:t>
      </w:r>
      <w:r>
        <w:rPr>
          <w:bCs/>
          <w:b/>
        </w:rPr>
        <w:t xml:space="preserve">Venezuela CaracasVenezuela Caracas</w:t>
      </w:r>
      <w:r>
        <w:t xml:space="preserve">.</w:t>
      </w:r>
    </w:p>
    <w:bookmarkEnd w:id="28"/>
    <w:bookmarkStart w:id="29" w:name="references"/>
    <w:p>
      <w:pPr>
        <w:pStyle w:val="Heading2"/>
      </w:pPr>
      <w:r>
        <w:t xml:space="preserve">References</w:t>
      </w:r>
    </w:p>
    <w:p>
      <w:pPr>
        <w:pStyle w:val="FirstParagraph"/>
      </w:pPr>
      <w:r>
        <w:t xml:space="preserve">[1] International Federation of Accountants. (2023). *Global Auditing Standards and Emerging Markets*. New York: IFAC.</w:t>
      </w:r>
    </w:p>
    <w:p>
      <w:pPr>
        <w:pStyle w:val="BodyText"/>
      </w:pPr>
      <w:r>
        <w:t xml:space="preserve">[2] Central Bank of Venezuela. (Annual Reports on Monetary Stability). Caracas, 2018-2023.</w:t>
      </w:r>
    </w:p>
    <w:p>
      <w:pPr>
        <w:pStyle w:val="BodyText"/>
      </w:pPr>
      <w:r>
        <w:t xml:space="preserve">[3] Journal of Forensic &amp; Investigative Accounting. "Audit Strategies in Hyperinflationary Economies." Vol 15, Issue 4.</w:t>
      </w:r>
    </w:p>
    <w:p>
      <w:pPr>
        <w:pStyle w:val="BodyText"/>
      </w:pPr>
      <w:r>
        <w:t xml:space="preserve">[4] Local Chamber of Accountants of Venezuela. (Collegio de Contadores Publicos). *Guidelines for Practice in Crisis Environments*. Caracas: CCPV.</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Venezuela Caracas: Navigating Economic Volatility and Regulatory Complexity</dc:title>
  <dc:creator/>
  <dc:language>en</dc:language>
  <cp:keywords/>
  <dcterms:created xsi:type="dcterms:W3CDTF">2026-07-29T12:31:18Z</dcterms:created>
  <dcterms:modified xsi:type="dcterms:W3CDTF">2026-07-29T12:31:18Z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