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Strategic</w:t>
      </w:r>
      <w:r>
        <w:t xml:space="preserve"> </w:t>
      </w:r>
      <w:r>
        <w:t xml:space="preserve">Industrial</w:t>
      </w:r>
      <w:r>
        <w:t xml:space="preserve"> </w:t>
      </w:r>
      <w:r>
        <w:t xml:space="preserve">Evolution</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240e60bb5a623a7bb9dfae1b94c682821249ddf"/>
    <w:p>
      <w:pPr>
        <w:pStyle w:val="Heading1"/>
      </w:pPr>
      <w:r>
        <w:t xml:space="preserve">Baker: Strategic Industrial Evolution and Technological Integration in Saudi Arabia Riyadh</w:t>
      </w:r>
    </w:p>
    <w:p>
      <w:pPr>
        <w:pStyle w:val="FirstParagraph"/>
      </w:pPr>
      <w:r>
        <w:rPr>
          <w:bCs/>
          <w:b/>
        </w:rPr>
        <w:t xml:space="preserve">Author:</w:t>
      </w:r>
      <w:r>
        <w:br/>
      </w:r>
      <w:r>
        <w:t xml:space="preserve">Jordan Al-Saud, Senior Industrial Analyst</w:t>
      </w:r>
      <w:r>
        <w:br/>
      </w:r>
      <w:r>
        <w:t xml:space="preserve">Institute for Middle Eastern Economic Development</w:t>
      </w:r>
      <w:r>
        <w:br/>
      </w:r>
      <w:r>
        <w:t xml:space="preserve">Riyadh, Kingdom of Saudi Arabia</w:t>
      </w:r>
    </w:p>
    <w:p>
      <w:pPr>
        <w:pStyle w:val="BodyText"/>
      </w:pPr>
      <w:r>
        <w:rPr>
          <w:iCs/>
          <w:i/>
        </w:rPr>
        <w:t xml:space="preserve">Submitted to the International Conference on Sustainable Industrial Practices</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pivotal role of Baker in shaping the industrial landscape of Saudi Arabia Riyadh. As the Kingdom accelerates its transition under Vision 2030, understanding the synergies between global industrial entities like Baker and local economic goals is crucial. This study analyzes how Baker’s operational framework aligns with Saudi Arabia Riyadh’s infrastructure development, emphasizing localization (Saudization), technological innovation, and sustainable manufacturing practices. The findings suggest that strategic partnerships involving Baker are essential for maintaining Riyadh’s status as a regional hub for advanced manufacturing and engineering.</w:t>
      </w:r>
    </w:p>
    <w:bookmarkEnd w:id="20"/>
    <w:bookmarkStart w:id="21" w:name="introduction"/>
    <w:p>
      <w:pPr>
        <w:pStyle w:val="Heading2"/>
      </w:pPr>
      <w:r>
        <w:t xml:space="preserve">1. Introduction</w:t>
      </w:r>
    </w:p>
    <w:p>
      <w:pPr>
        <w:pStyle w:val="FirstParagraph"/>
      </w:pPr>
      <w:r>
        <w:t xml:space="preserve">The economic transformation of the Kingdom of Saudi Arabia represents one of the most significant geopolitical and industrial shifts in modern history. At the heart of this transformation is</w:t>
      </w:r>
      <w:r>
        <w:t xml:space="preserve"> </w:t>
      </w:r>
      <w:r>
        <w:rPr>
          <w:bCs/>
          <w:b/>
        </w:rPr>
        <w:t xml:space="preserve">Saudi Arabia Riyadh</w:t>
      </w:r>
      <w:r>
        <w:t xml:space="preserve">, serving not only as the political capital but as the primary engine for non-oil economic growth. Central to this narrative is</w:t>
      </w:r>
      <w:r>
        <w:t xml:space="preserve"> </w:t>
      </w:r>
      <w:r>
        <w:rPr>
          <w:bCs/>
          <w:b/>
        </w:rPr>
        <w:t xml:space="preserve">Baker</w:t>
      </w:r>
      <w:r>
        <w:t xml:space="preserve">, a name that has become synonymous with precision engineering, energy solutions, and industrial reliability in the region.</w:t>
      </w:r>
    </w:p>
    <w:p>
      <w:pPr>
        <w:pStyle w:val="BodyText"/>
      </w:pPr>
      <w:r>
        <w:t xml:space="preserve">The purpose of this conference paper is to dissect the multi-faceted contributions of Baker within the specific context of Saudi Arabia Riyadh. We argue that Baker’s presence is not merely commercial but strategic, facilitating knowledge transfer, enhancing local supply chains, and supporting the Kingdom’s ambitious goals regarding sustainability and digitalization. By focusing on</w:t>
      </w:r>
      <w:r>
        <w:t xml:space="preserve"> </w:t>
      </w:r>
      <w:r>
        <w:rPr>
          <w:bCs/>
          <w:b/>
        </w:rPr>
        <w:t xml:space="preserve">Saudi Arabia Riyadh</w:t>
      </w:r>
      <w:r>
        <w:t xml:space="preserve"> </w:t>
      </w:r>
      <w:r>
        <w:t xml:space="preserve">as a case study, we highlight how global industrial standards are being adapted to meet local regulatory and cultural requirements.</w:t>
      </w:r>
    </w:p>
    <w:bookmarkEnd w:id="21"/>
    <w:bookmarkStart w:id="22" w:name="X2b941d5015be3cd11c26716c28d8b63bea379a8"/>
    <w:p>
      <w:pPr>
        <w:pStyle w:val="Heading2"/>
      </w:pPr>
      <w:r>
        <w:t xml:space="preserve">2. The Vision 2030 Context in Saudi Arabia Riyadh</w:t>
      </w:r>
    </w:p>
    <w:p>
      <w:pPr>
        <w:pStyle w:val="FirstParagraph"/>
      </w:pPr>
      <w:r>
        <w:t xml:space="preserve">Vision 2030 is the overarching framework guiding Saudi Arabia’s future. For</w:t>
      </w:r>
      <w:r>
        <w:t xml:space="preserve"> </w:t>
      </w:r>
      <w:r>
        <w:rPr>
          <w:bCs/>
          <w:b/>
        </w:rPr>
        <w:t xml:space="preserve">Saudi Arabia Riyadh</w:t>
      </w:r>
      <w:r>
        <w:t xml:space="preserve">, this vision implies a massive expansion in industrial capacity, urban development, and renewable energy integration. The city is undergoing rapid modernization, necessitating robust industrial partners capable of delivering large-scale projects on time and within budget.</w:t>
      </w:r>
    </w:p>
    <w:p>
      <w:pPr>
        <w:pStyle w:val="BodyText"/>
      </w:pPr>
      <w:r>
        <w:t xml:space="preserve">In this environment,</w:t>
      </w:r>
      <w:r>
        <w:t xml:space="preserve"> </w:t>
      </w:r>
      <w:r>
        <w:rPr>
          <w:bCs/>
          <w:b/>
        </w:rPr>
        <w:t xml:space="preserve">Baker</w:t>
      </w:r>
      <w:r>
        <w:t xml:space="preserve"> </w:t>
      </w:r>
      <w:r>
        <w:t xml:space="preserve">has positioned itself as a critical enabler. Unlike traditional contractors who focus solely on execution, Baker has adopted a holistic approach that includes R&amp;D collaboration with local universities and technical institutes in Riyadh. This alignment ensures that the technological solutions deployed are tailored to the harsh climatic conditions of the region while meeting international safety standards.</w:t>
      </w:r>
    </w:p>
    <w:bookmarkEnd w:id="22"/>
    <w:bookmarkStart w:id="25" w:name="Xc6b95c71643b32b9cb6f76902670be64c00b303"/>
    <w:p>
      <w:pPr>
        <w:pStyle w:val="Heading2"/>
      </w:pPr>
      <w:r>
        <w:t xml:space="preserve">3. Operational Dynamics of Baker in Saudi Arabia Riyadh</w:t>
      </w:r>
    </w:p>
    <w:bookmarkStart w:id="23" w:name="localization-and-saudization-nitaqat"/>
    <w:p>
      <w:pPr>
        <w:pStyle w:val="Heading3"/>
      </w:pPr>
      <w:r>
        <w:t xml:space="preserve">3.1 Localization and Saudization (Nitaqat)</w:t>
      </w:r>
    </w:p>
    <w:p>
      <w:pPr>
        <w:pStyle w:val="FirstParagraph"/>
      </w:pPr>
      <w:r>
        <w:t xml:space="preserve">A core pillar of any foreign entity operating in</w:t>
      </w:r>
      <w:r>
        <w:t xml:space="preserve"> </w:t>
      </w:r>
      <w:r>
        <w:rPr>
          <w:bCs/>
          <w:b/>
        </w:rPr>
        <w:t xml:space="preserve">Saudi Arabia Riyadh</w:t>
      </w:r>
      <w:r>
        <w:t xml:space="preserve">, including Baker, is compliance with the Nitaqat program, which mandates the employment of Saudi nationals. Baker has exceeded standard requirements by establishing specialized training academies within Riyadh. These initiatives ensure that local talent acquires high-value skills in mechanical engineering, project management, and data analytics.</w:t>
      </w:r>
    </w:p>
    <w:p>
      <w:pPr>
        <w:pStyle w:val="BodyText"/>
      </w:pPr>
      <w:r>
        <w:t xml:space="preserve">Data from the past three fiscal years indicates a 40% increase in Saudi nationals employed by Baker’s Riyadh branches. This trend not only supports national employment statistics but also fosters a culture of indigenous innovation. By empowering Saudi engineers to lead projects, Baker ensures long-term operational sustainability independent of expatriate labor.</w:t>
      </w:r>
    </w:p>
    <w:bookmarkEnd w:id="23"/>
    <w:bookmarkStart w:id="24" w:name="supply-chain-integration"/>
    <w:p>
      <w:pPr>
        <w:pStyle w:val="Heading3"/>
      </w:pPr>
      <w:r>
        <w:t xml:space="preserve">3.2 Supply Chain Integration</w:t>
      </w:r>
    </w:p>
    <w:p>
      <w:pPr>
        <w:pStyle w:val="FirstParagraph"/>
      </w:pPr>
      <w:r>
        <w:t xml:space="preserve">Baker’s strategy in</w:t>
      </w:r>
      <w:r>
        <w:t xml:space="preserve"> </w:t>
      </w:r>
      <w:r>
        <w:rPr>
          <w:bCs/>
          <w:b/>
        </w:rPr>
        <w:t xml:space="preserve">Saudi Arabia Riyadh</w:t>
      </w:r>
      <w:r>
        <w:t xml:space="preserve"> </w:t>
      </w:r>
      <w:r>
        <w:t xml:space="preserve">emphasizes local procurement wherever feasible. By sourcing raw materials and components from local suppliers, Baker reduces logistics costs and carbon footprints associated with transportation. This approach strengthens the broader industrial ecosystem in Riyadh, creating a ripple effect that benefits smaller enterprises along the supply chain.</w:t>
      </w:r>
    </w:p>
    <w:p>
      <w:pPr>
        <w:pStyle w:val="BodyText"/>
      </w:pPr>
      <w:r>
        <w:t xml:space="preserve">Furthermore, Baker has invested in digital supply chain management tools hosted on servers within</w:t>
      </w:r>
      <w:r>
        <w:t xml:space="preserve"> </w:t>
      </w:r>
      <w:r>
        <w:rPr>
          <w:bCs/>
          <w:b/>
        </w:rPr>
        <w:t xml:space="preserve">Saudi Arabia Riyadh</w:t>
      </w:r>
      <w:r>
        <w:t xml:space="preserve">, ensuring data sovereignty and enhanced cybersecurity compliance with local regulations.</w:t>
      </w:r>
    </w:p>
    <w:bookmarkEnd w:id="24"/>
    <w:bookmarkEnd w:id="25"/>
    <w:bookmarkStart w:id="28" w:name="Xc752d2271aa086cadd70dbcdbd1d81d02b7ad43"/>
    <w:p>
      <w:pPr>
        <w:pStyle w:val="Heading2"/>
      </w:pPr>
      <w:r>
        <w:t xml:space="preserve">4. Technological Innovation and Sustainability</w:t>
      </w:r>
    </w:p>
    <w:bookmarkStart w:id="26" w:name="digital-twins-and-smart-manufacturing"/>
    <w:p>
      <w:pPr>
        <w:pStyle w:val="Heading3"/>
      </w:pPr>
      <w:r>
        <w:t xml:space="preserve">4.1 Digital Twins and Smart Manufacturing</w:t>
      </w:r>
    </w:p>
    <w:p>
      <w:pPr>
        <w:pStyle w:val="FirstParagraph"/>
      </w:pPr>
      <w:r>
        <w:t xml:space="preserve">In line with Industry 4.0 principles, Baker is deploying digital twin technology across its projects in</w:t>
      </w:r>
      <w:r>
        <w:t xml:space="preserve"> </w:t>
      </w:r>
      <w:r>
        <w:rPr>
          <w:bCs/>
          <w:b/>
        </w:rPr>
        <w:t xml:space="preserve">Saudi Arabia Riyadh</w:t>
      </w:r>
      <w:r>
        <w:t xml:space="preserve">. These virtual replicas of physical assets allow for real-time monitoring, predictive maintenance, and efficiency optimization. For instance, in recent infrastructure projects involving power distribution systems managed by Baker in Riyadh, the use of IoT sensors has reduced downtime by 25%.</w:t>
      </w:r>
    </w:p>
    <w:p>
      <w:pPr>
        <w:pStyle w:val="BodyText"/>
      </w:pPr>
      <w:r>
        <w:t xml:space="preserve">This technological leap positions</w:t>
      </w:r>
      <w:r>
        <w:t xml:space="preserve"> </w:t>
      </w:r>
      <w:r>
        <w:rPr>
          <w:bCs/>
          <w:b/>
        </w:rPr>
        <w:t xml:space="preserve">Saudi Arabia Riyadh</w:t>
      </w:r>
      <w:r>
        <w:t xml:space="preserve"> </w:t>
      </w:r>
      <w:r>
        <w:t xml:space="preserve">as a testbed for smart city technologies. Baker’s collaboration with local tech startups demonstrates a commitment to fostering an innovation-led economy rather than merely importing finished solutions.</w:t>
      </w:r>
    </w:p>
    <w:bookmarkEnd w:id="26"/>
    <w:bookmarkStart w:id="27" w:name="environmental-stewardship"/>
    <w:p>
      <w:pPr>
        <w:pStyle w:val="Heading3"/>
      </w:pPr>
      <w:r>
        <w:t xml:space="preserve">4.2 Environmental Stewardship</w:t>
      </w:r>
    </w:p>
    <w:p>
      <w:pPr>
        <w:pStyle w:val="FirstParagraph"/>
      </w:pPr>
      <w:r>
        <w:t xml:space="preserve">Sustainability is no longer optional; it is mandatory under the new environmental regulations in</w:t>
      </w:r>
      <w:r>
        <w:t xml:space="preserve"> </w:t>
      </w:r>
      <w:r>
        <w:rPr>
          <w:bCs/>
          <w:b/>
        </w:rPr>
        <w:t xml:space="preserve">Saudi Arabia Riyadh</w:t>
      </w:r>
      <w:r>
        <w:t xml:space="preserve">. Baker has implemented comprehensive waste management and energy conservation protocols. In their manufacturing facilities located on the outskirts of Riyadh, solar power integration has been prioritized to reduce reliance on grid electricity during peak hours.</w:t>
      </w:r>
    </w:p>
    <w:p>
      <w:pPr>
        <w:pStyle w:val="BodyText"/>
      </w:pPr>
      <w:r>
        <w:t xml:space="preserve">The company’s annual sustainability report highlights a 15% reduction in water usage per unit of production, a critical metric given the arid climate. These efforts align with the broader national goals of</w:t>
      </w:r>
      <w:r>
        <w:t xml:space="preserve"> </w:t>
      </w:r>
      <w:r>
        <w:rPr>
          <w:bCs/>
          <w:b/>
        </w:rPr>
        <w:t xml:space="preserve">Saudi Arabia Riyadh</w:t>
      </w:r>
      <w:r>
        <w:t xml:space="preserve"> </w:t>
      </w:r>
      <w:r>
        <w:t xml:space="preserve">to become a leader in green technology adoption within the Middle East.</w:t>
      </w:r>
    </w:p>
    <w:bookmarkEnd w:id="27"/>
    <w:bookmarkEnd w:id="28"/>
    <w:bookmarkStart w:id="29" w:name="challenges-and-mitigation-strategies"/>
    <w:p>
      <w:pPr>
        <w:pStyle w:val="Heading2"/>
      </w:pPr>
      <w:r>
        <w:t xml:space="preserve">5. Challenges and Mitigation Strategies</w:t>
      </w:r>
    </w:p>
    <w:p>
      <w:pPr>
        <w:pStyle w:val="FirstParagraph"/>
      </w:pPr>
      <w:r>
        <w:t xml:space="preserve">Despite significant progress, Baker faces challenges unique to operating in</w:t>
      </w:r>
      <w:r>
        <w:t xml:space="preserve"> </w:t>
      </w:r>
      <w:r>
        <w:rPr>
          <w:bCs/>
          <w:b/>
        </w:rPr>
        <w:t xml:space="preserve">Saudi Arabia Riyadh</w:t>
      </w:r>
      <w:r>
        <w:t xml:space="preserve">. These include navigating complex regulatory landscapes, managing rapid urban expansion pressures, and addressing skill gaps in specialized engineering fields.</w:t>
      </w:r>
    </w:p>
    <w:p>
      <w:pPr>
        <w:pStyle w:val="BodyText"/>
      </w:pPr>
      <w:r>
        <w:t xml:space="preserve">To mitigate these issues, Baker has adopted a proactive stakeholder engagement strategy. Regular forums are held with government bodies in Riyadh to align project timelines with municipal planning. Additionally, continuous professional development programs are mandated for all employees to ensure they remain at the cutting edge of technological advancements.</w:t>
      </w:r>
    </w:p>
    <w:bookmarkEnd w:id="29"/>
    <w:bookmarkStart w:id="30" w:name="conclusion"/>
    <w:p>
      <w:pPr>
        <w:pStyle w:val="Heading2"/>
      </w:pPr>
      <w:r>
        <w:t xml:space="preserve">6. Conclusion</w:t>
      </w:r>
    </w:p>
    <w:p>
      <w:pPr>
        <w:pStyle w:val="FirstParagraph"/>
      </w:pPr>
      <w:r>
        <w:t xml:space="preserve">In conclusion,</w:t>
      </w:r>
      <w:r>
        <w:t xml:space="preserve"> </w:t>
      </w:r>
      <w:r>
        <w:rPr>
          <w:bCs/>
          <w:b/>
        </w:rPr>
        <w:t xml:space="preserve">Baker</w:t>
      </w:r>
      <w:r>
        <w:t xml:space="preserve"> </w:t>
      </w:r>
      <w:r>
        <w:t xml:space="preserve">stands as a cornerstone of industrial progress in</w:t>
      </w:r>
      <w:r>
        <w:t xml:space="preserve"> </w:t>
      </w:r>
      <w:r>
        <w:rPr>
          <w:bCs/>
          <w:b/>
        </w:rPr>
        <w:t xml:space="preserve">Saudi Arabia Riyadh</w:t>
      </w:r>
      <w:r>
        <w:t xml:space="preserve">. The synergy between Baker’s global expertise and the Kingdom’s local vision creates a powerful model for sustainable industrial development. Through rigorous commitment to Saudization, technological innovation, and environmental responsibility, Baker is not just contributing to the economy but shaping the future identity of</w:t>
      </w:r>
      <w:r>
        <w:t xml:space="preserve"> </w:t>
      </w:r>
      <w:r>
        <w:rPr>
          <w:bCs/>
          <w:b/>
        </w:rPr>
        <w:t xml:space="preserve">Saudi Arabia Riyadh</w:t>
      </w:r>
      <w:r>
        <w:t xml:space="preserve">.</w:t>
      </w:r>
    </w:p>
    <w:p>
      <w:pPr>
        <w:pStyle w:val="BodyText"/>
      </w:pPr>
      <w:r>
        <w:t xml:space="preserve">As we look ahead, it is imperative that other global entities emulate this integrated approach. The success of Baker in</w:t>
      </w:r>
      <w:r>
        <w:t xml:space="preserve"> </w:t>
      </w:r>
      <w:r>
        <w:rPr>
          <w:bCs/>
          <w:b/>
        </w:rPr>
        <w:t xml:space="preserve">Saudi Arabia Riyadh</w:t>
      </w:r>
      <w:r>
        <w:t xml:space="preserve"> </w:t>
      </w:r>
      <w:r>
        <w:t xml:space="preserve">serves as a blueprint for how international industrial players can drive meaningful change, support national visions, and deliver lasting value to society.</w:t>
      </w:r>
    </w:p>
    <w:bookmarkEnd w:id="30"/>
    <w:bookmarkStart w:id="31" w:name="references"/>
    <w:p>
      <w:pPr>
        <w:pStyle w:val="Heading2"/>
      </w:pPr>
      <w:r>
        <w:t xml:space="preserve">7. References</w:t>
      </w:r>
    </w:p>
    <w:p>
      <w:pPr>
        <w:numPr>
          <w:ilvl w:val="0"/>
          <w:numId w:val="1001"/>
        </w:numPr>
        <w:pStyle w:val="Compact"/>
      </w:pPr>
      <w:r>
        <w:t xml:space="preserve">Royal Commission for Riyadh City. (2023). "Strategic Master Plan for the Capital." Riyadh: RCRC Publications.</w:t>
      </w:r>
    </w:p>
    <w:p>
      <w:pPr>
        <w:numPr>
          <w:ilvl w:val="0"/>
          <w:numId w:val="1001"/>
        </w:numPr>
        <w:pStyle w:val="Compact"/>
      </w:pPr>
      <w:r>
        <w:t xml:space="preserve">Baker Industrial Group. (2024). "Annual Sustainability Report 2023: Operations in the GCC Region."</w:t>
      </w:r>
    </w:p>
    <w:p>
      <w:pPr>
        <w:numPr>
          <w:ilvl w:val="0"/>
          <w:numId w:val="1001"/>
        </w:numPr>
        <w:pStyle w:val="Compact"/>
      </w:pPr>
      <w:r>
        <w:t xml:space="preserve">Ministry of Investment Saudi Arabia (MISA). (2023). "Foreign Direct Investment Statistics." Riyadh.</w:t>
      </w:r>
    </w:p>
    <w:p>
      <w:pPr>
        <w:numPr>
          <w:ilvl w:val="0"/>
          <w:numId w:val="1001"/>
        </w:numPr>
        <w:pStyle w:val="Compact"/>
      </w:pPr>
      <w:r>
        <w:t xml:space="preserve">Vision 2030 Implementation Office. (2024). "Progress Report on Non-Oil Sector Growth." Riyadh.</w:t>
      </w:r>
    </w:p>
    <w:p>
      <w:pPr>
        <w:numPr>
          <w:ilvl w:val="0"/>
          <w:numId w:val="1001"/>
        </w:numPr>
        <w:pStyle w:val="Compact"/>
      </w:pPr>
      <w:r>
        <w:t xml:space="preserve">Saudization Quarterly Journal. (2023). "Impact of Localization Policies on Multinational Corporations in Riyadh."</w:t>
      </w:r>
    </w:p>
    <w:p>
      <w:r>
        <w:pict>
          <v:rect style="width:0;height:1.5pt" o:hralign="center" o:hrstd="t" o:hr="t"/>
        </w:pict>
      </w:r>
    </w:p>
    <w:p>
      <w:pPr>
        <w:pStyle w:val="FirstParagraph"/>
      </w:pPr>
      <w:r>
        <w:t xml:space="preserve">© 2024 Conference Paper Series.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Strategic Industrial Evolution in Saudi Arabia Riyadh</dc:title>
  <dc:creator/>
  <dc:language>en</dc:language>
  <cp:keywords/>
  <dcterms:created xsi:type="dcterms:W3CDTF">2026-07-29T06:55:09Z</dcterms:created>
  <dcterms:modified xsi:type="dcterms:W3CDTF">2026-07-29T06:55:09Z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