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Adaptations</w:t>
      </w:r>
      <w:r>
        <w:t xml:space="preserve"> </w:t>
      </w:r>
      <w:r>
        <w:t xml:space="preserve">in</w:t>
      </w:r>
      <w:r>
        <w:t xml:space="preserve"> </w:t>
      </w:r>
      <w:r>
        <w:t xml:space="preserve">the</w:t>
      </w:r>
      <w:r>
        <w:t xml:space="preserve"> </w:t>
      </w:r>
      <w:r>
        <w:t xml:space="preserve">Australia</w:t>
      </w:r>
      <w:r>
        <w:t xml:space="preserve"> </w:t>
      </w:r>
      <w:r>
        <w:t xml:space="preserve">Melbourne</w:t>
      </w:r>
      <w:r>
        <w:t xml:space="preserve"> </w:t>
      </w:r>
      <w:r>
        <w:t xml:space="preserve">Financial</w:t>
      </w:r>
      <w:r>
        <w:t xml:space="preserve"> </w:t>
      </w:r>
      <w:r>
        <w:t xml:space="preserve">Hub</w:t>
      </w:r>
    </w:p>
    <w:bookmarkStart w:id="30" w:name="Xd4ecfc075e41c860a49a1fd7adf77b1cce5afdf"/>
    <w:p>
      <w:pPr>
        <w:pStyle w:val="Heading1"/>
      </w:pPr>
      <w:r>
        <w:t xml:space="preserve">The Modern Banker in Australia Melbourne: Navigating Digital Transformation and Indigenous Financial Inclusion</w:t>
      </w:r>
    </w:p>
    <w:p>
      <w:pPr>
        <w:pStyle w:val="FirstParagraph"/>
      </w:pPr>
      <w:r>
        <w:t xml:space="preserve">Presented at the Australian Conference on Financial Economics</w:t>
      </w:r>
      <w:r>
        <w:br/>
      </w:r>
      <w:r>
        <w:t xml:space="preserve">Melbourne Convention and Exhibition Centre</w:t>
      </w:r>
      <w:r>
        <w:br/>
      </w:r>
      <w:r>
        <w:br/>
      </w:r>
      <w:r>
        <w:rPr>
          <w:bCs/>
          <w:b/>
        </w:rPr>
        <w:t xml:space="preserve">Author:</w:t>
      </w:r>
      <w:r>
        <w:t xml:space="preserve"> </w:t>
      </w:r>
      <w:r>
        <w:t xml:space="preserve">Dr. Sarah Jenkins, Senior Fellow in Economic Strategy</w:t>
      </w:r>
      <w:r>
        <w:br/>
      </w:r>
      <w:r>
        <w:rPr>
          <w:bCs/>
          <w:b/>
        </w:rPr>
        <w:t xml:space="preserve">Date:</w:t>
      </w:r>
      <w:r>
        <w:rPr>
          <w:iCs/>
          <w:i/>
        </w:rPr>
        <w:t xml:space="preserve">[Insert Date]</w:t>
      </w:r>
      <w:r>
        <w:br/>
      </w:r>
    </w:p>
    <w:bookmarkStart w:id="20" w:name="abstract"/>
    <w:p>
      <w:pPr>
        <w:pStyle w:val="Heading3"/>
      </w:pPr>
      <w:r>
        <w:t xml:space="preserve">Abstract</w:t>
      </w:r>
    </w:p>
    <w:p>
      <w:pPr>
        <w:pStyle w:val="FirstParagraph"/>
      </w:pPr>
      <w:r>
        <w:t xml:space="preserve">This paper examines the evolving role of the banker within the specific socio-economic and regulatory landscape of Australia Melbourne. As a burgeoning global financial hub, Australia Melbourne presents unique challenges and opportunities for banking professionals. This study analyzes how traditional banking practices are being reshaped by digital innovation, regulatory shifts following Royal Commissions, and a critical imperative toward Indigenous financial inclusion. The findings suggest that the modern banker in this region must transcend traditional transactional roles to become strategic advisors on sustainability, technology integration, and social equity.</w:t>
      </w:r>
    </w:p>
    <w:bookmarkEnd w:id="20"/>
    <w:bookmarkStart w:id="21" w:name="introduction"/>
    <w:p>
      <w:pPr>
        <w:pStyle w:val="Heading2"/>
      </w:pPr>
      <w:r>
        <w:t xml:space="preserve">1. Introduction</w:t>
      </w:r>
    </w:p>
    <w:p>
      <w:pPr>
        <w:pStyle w:val="FirstParagraph"/>
      </w:pPr>
      <w:r>
        <w:t xml:space="preserve">The financial sector serves as the backbone of economic stability and growth. In recent years, the city of Australia Melbourne has solidified its reputation not only as a cultural capital but also as a formidable center for finance and innovation in Asia-Pacific. For the banker operating within this jurisdiction, the expectations have shifted dramatically. The traditional model, characterized by rigid hierarchical structures and product-centric sales, is increasingly obsolete. Instead, stakeholders—from retail customers to institutional investors—demand transparency, ethical conduct, and technological seamless integration.</w:t>
      </w:r>
    </w:p>
    <w:p>
      <w:pPr>
        <w:pStyle w:val="BodyText"/>
      </w:pPr>
      <w:r>
        <w:t xml:space="preserve">This Conference Paper argues that the definition of a successful banker in Australia Melbourne is undergoing a fundamental paradigm shift. It is no longer sufficient to merely manage assets; the contemporary banker must act as a catalyst for community well-being and digital resilience. This paper explores three critical dimensions of this transformation: regulatory compliance post-royal commission, technological disruption through open banking, and the urgent need for financial inclusion among Indigenous populations.</w:t>
      </w:r>
    </w:p>
    <w:bookmarkEnd w:id="21"/>
    <w:bookmarkStart w:id="23" w:name="Xaa0b498353eced50548510a90d569a618786db2"/>
    <w:p>
      <w:pPr>
        <w:pStyle w:val="Heading2"/>
      </w:pPr>
      <w:r>
        <w:t xml:space="preserve">2. The Regulatory Landscape and Ethical Banking</w:t>
      </w:r>
    </w:p>
    <w:p>
      <w:pPr>
        <w:pStyle w:val="FirstParagraph"/>
      </w:pPr>
      <w:r>
        <w:t xml:space="preserve">The context for banking in Australia has been irrevocably altered by the Royal Commission into Misconduct in the Banking, Superannuation and Financial Services Industry. For any banker operating in Australia Melbourne, understanding this historical backdrop is crucial. The Commission’s findings highlighted systemic failures regarding consumer protection and ethical conduct, leading to a heightened state of regulatory scrutiny.</w:t>
      </w:r>
    </w:p>
    <w:p>
      <w:pPr>
        <w:pStyle w:val="BodyText"/>
      </w:pPr>
      <w:r>
        <w:t xml:space="preserve">The modern banker must now prioritize "fit and proper" standards not just as a compliance checkbox, but as a core professional identity. In Australia Melbourne, where the concentration of major banking headquarters is high, reputational risk is paramount. Banks are increasingly adopting robust governance frameworks that empower frontline staff to make ethical decisions without fear of reprisal from aggressive sales targets. This shift represents a move from a culture of compliance to one of integrity.</w:t>
      </w:r>
    </w:p>
    <w:bookmarkStart w:id="22" w:name="consumer-duty-implementation"/>
    <w:p>
      <w:pPr>
        <w:pStyle w:val="Heading3"/>
      </w:pPr>
      <w:r>
        <w:t xml:space="preserve">2.1 Consumer Duty Implementation</w:t>
      </w:r>
    </w:p>
    <w:p>
      <w:pPr>
        <w:pStyle w:val="FirstParagraph"/>
      </w:pPr>
      <w:r>
        <w:t xml:space="preserve">Furthermore, the introduction of new consumer duty regulations requires bankers to demonstrate that their products deliver good outcomes for retail clients. This necessitates a deeper understanding of customer needs and behaviors. The banker’s role has expanded to include continuous monitoring of product suitability and proactive intervention when products fail to meet customer objectives.</w:t>
      </w:r>
    </w:p>
    <w:bookmarkEnd w:id="22"/>
    <w:bookmarkEnd w:id="23"/>
    <w:bookmarkStart w:id="24" w:name="X9586f15faf3d2f525d53fd49f7827856442d97e"/>
    <w:p>
      <w:pPr>
        <w:pStyle w:val="Heading2"/>
      </w:pPr>
      <w:r>
        <w:t xml:space="preserve">3. Technological Disruption and Open Banking</w:t>
      </w:r>
    </w:p>
    <w:p>
      <w:pPr>
        <w:pStyle w:val="FirstParagraph"/>
      </w:pPr>
      <w:r>
        <w:t xml:space="preserve">Innovation is the second pillar reshaping the profession in Australia Melbourne. The rollout of Open Banking legislation has democratized data ownership, allowing customers to share their financial data securely with third-party providers. This development challenges the traditional monopoly that banks held over customer information.</w:t>
      </w:r>
    </w:p>
    <w:p>
      <w:pPr>
        <w:numPr>
          <w:ilvl w:val="0"/>
          <w:numId w:val="1001"/>
        </w:numPr>
        <w:pStyle w:val="Compact"/>
      </w:pPr>
      <w:r>
        <w:rPr>
          <w:bCs/>
          <w:b/>
        </w:rPr>
        <w:t xml:space="preserve">Data Utilization:</w:t>
      </w:r>
      <w:r>
        <w:t xml:space="preserve"> </w:t>
      </w:r>
      <w:r>
        <w:t xml:space="preserve">Bankers must leverage big data and AI to offer personalized financial advice at scale. In a competitive market like Australia Melbourne, personalization is key to customer retention.</w:t>
      </w:r>
    </w:p>
    <w:p>
      <w:pPr>
        <w:numPr>
          <w:ilvl w:val="0"/>
          <w:numId w:val="1001"/>
        </w:numPr>
        <w:pStyle w:val="Compact"/>
      </w:pPr>
      <w:r>
        <w:rPr>
          <w:bCs/>
          <w:b/>
        </w:rPr>
        <w:t xml:space="preserve">Digital Literacy:</w:t>
      </w:r>
      <w:r>
        <w:t xml:space="preserve"> </w:t>
      </w:r>
      <w:r>
        <w:t xml:space="preserve">The banker of the future must possess strong digital literacy. This involves understanding blockchain technologies, cybersecurity protocols, and fintech partnerships. Collaboration with local tech startups in Melbourne’s growing innovation precincts is becoming a strategic advantage.</w:t>
      </w:r>
    </w:p>
    <w:p>
      <w:pPr>
        <w:numPr>
          <w:ilvl w:val="0"/>
          <w:numId w:val="1001"/>
        </w:numPr>
        <w:pStyle w:val="Compact"/>
      </w:pPr>
      <w:r>
        <w:rPr>
          <w:bCs/>
          <w:b/>
        </w:rPr>
        <w:t xml:space="preserve">The Human Touch in Digital Banking:</w:t>
      </w:r>
      <w:r>
        <w:t xml:space="preserve"> </w:t>
      </w:r>
      <w:r>
        <w:t xml:space="preserve">Despite increased automation, the human element remains vital. Complex financial planning requires empathy and nuanced judgment that algorithms cannot yet replicate. The modern banker acts as a bridge between complex digital tools and client understanding.</w:t>
      </w:r>
    </w:p>
    <w:bookmarkEnd w:id="24"/>
    <w:bookmarkStart w:id="26" w:name="X44e7d6dc7bcaed5a18121f9e871e3387c586ba5"/>
    <w:p>
      <w:pPr>
        <w:pStyle w:val="Heading2"/>
      </w:pPr>
      <w:r>
        <w:t xml:space="preserve">4. Indigenous Financial Inclusion: A Critical Imperative</w:t>
      </w:r>
    </w:p>
    <w:p>
      <w:pPr>
        <w:pStyle w:val="FirstParagraph"/>
      </w:pPr>
      <w:r>
        <w:t xml:space="preserve">No discussion on the future of banking in Australia Melbourne is complete without addressing Indigenous financial inclusion. Australia has a proud and ancient First Nations culture, yet significant economic disparities persist. The Australian Prudential Regulation Authority (APRA) and other bodies have set ambitious targets for increasing Indigenous home ownership and business lending.</w:t>
      </w:r>
    </w:p>
    <w:bookmarkStart w:id="25" w:name="culturally-responsive-banking"/>
    <w:p>
      <w:pPr>
        <w:pStyle w:val="Heading3"/>
      </w:pPr>
      <w:r>
        <w:t xml:space="preserve">4.1 Culturally Responsive Banking</w:t>
      </w:r>
    </w:p>
    <w:p>
      <w:pPr>
        <w:pStyle w:val="FirstParagraph"/>
      </w:pPr>
      <w:r>
        <w:t xml:space="preserve">The banker in this region must be culturally competent. This involves understanding the unique financial behaviors, community structures, and historical traumas that may impact engagement with formal banking systems. In Australia Melbourne, banks are increasingly partnering with Indigenous enterprises to design products that resonate with Aboriginal and Torres Strait Islander communities.</w:t>
      </w:r>
    </w:p>
    <w:p>
      <w:pPr>
        <w:numPr>
          <w:ilvl w:val="0"/>
          <w:numId w:val="1002"/>
        </w:numPr>
        <w:pStyle w:val="Compact"/>
      </w:pPr>
      <w:r>
        <w:rPr>
          <w:bCs/>
          <w:b/>
        </w:rPr>
        <w:t xml:space="preserve">Community Trust Building:</w:t>
      </w:r>
      <w:r>
        <w:t xml:space="preserve"> </w:t>
      </w:r>
      <w:r>
        <w:t xml:space="preserve">Bankers must engage directly with communities, listening to their needs rather than imposing standard solutions. This builds trust and ensures that financial products are accessible and appropriate.</w:t>
      </w:r>
    </w:p>
    <w:p>
      <w:pPr>
        <w:numPr>
          <w:ilvl w:val="0"/>
          <w:numId w:val="1002"/>
        </w:numPr>
        <w:pStyle w:val="Compact"/>
      </w:pPr>
      <w:r>
        <w:rPr>
          <w:bCs/>
          <w:b/>
        </w:rPr>
        <w:t xml:space="preserve">Economic Empowerment:</w:t>
      </w:r>
      <w:r>
        <w:t xml:space="preserve"> </w:t>
      </w:r>
      <w:r>
        <w:t xml:space="preserve">By providing capital to Indigenous-owned businesses, bankers contribute directly to local economic growth in Australia Melbourne. This is not merely philanthropy but a strategic investment in the region’s social fabric.</w:t>
      </w:r>
    </w:p>
    <w:bookmarkEnd w:id="25"/>
    <w:bookmarkEnd w:id="26"/>
    <w:bookmarkStart w:id="27" w:name="X237ede7863aad07abda0de1c370ee11fd597c14"/>
    <w:p>
      <w:pPr>
        <w:pStyle w:val="Heading2"/>
      </w:pPr>
      <w:r>
        <w:t xml:space="preserve">5. Strategic Recommendations for the Modern Banker</w:t>
      </w:r>
    </w:p>
    <w:p>
      <w:pPr>
        <w:pStyle w:val="FirstParagraph"/>
      </w:pPr>
      <w:r>
        <w:t xml:space="preserve">To thrive in this dynamic environment, bankers operating in Australia Melbourne should adopt the following strategies:</w:t>
      </w:r>
    </w:p>
    <w:p>
      <w:pPr>
        <w:numPr>
          <w:ilvl w:val="0"/>
          <w:numId w:val="1003"/>
        </w:numPr>
        <w:pStyle w:val="Compact"/>
      </w:pPr>
      <w:r>
        <w:rPr>
          <w:bCs/>
          <w:b/>
        </w:rPr>
        <w:t xml:space="preserve">Holistic Professional Development:</w:t>
      </w:r>
      <w:r>
        <w:t xml:space="preserve"> </w:t>
      </w:r>
      <w:r>
        <w:t xml:space="preserve">Continuous education should cover not just financial products but also ethics, indigenous cultural awareness, and digital technologies.</w:t>
      </w:r>
    </w:p>
    <w:p>
      <w:pPr>
        <w:numPr>
          <w:ilvl w:val="0"/>
          <w:numId w:val="1003"/>
        </w:numPr>
        <w:pStyle w:val="Compact"/>
      </w:pPr>
      <w:r>
        <w:rPr>
          <w:bCs/>
          <w:b/>
        </w:rPr>
        <w:t xml:space="preserve">Niched Service Models:</w:t>
      </w:r>
      <w:r>
        <w:t xml:space="preserve"> </w:t>
      </w:r>
      <w:r>
        <w:t xml:space="preserve">Moving away from one-size-fits-all approaches to tailored solutions that consider the specific socio-economic contexts of clients in Australia Melbourne.</w:t>
      </w:r>
    </w:p>
    <w:p>
      <w:pPr>
        <w:numPr>
          <w:ilvl w:val="0"/>
          <w:numId w:val="1003"/>
        </w:numPr>
        <w:pStyle w:val="Compact"/>
      </w:pPr>
      <w:r>
        <w:rPr>
          <w:bCs/>
          <w:b/>
        </w:rPr>
        <w:t xml:space="preserve">Sustainability Integration:</w:t>
      </w:r>
      <w:r>
        <w:t xml:space="preserve"> </w:t>
      </w:r>
      <w:r>
        <w:t xml:space="preserve">Aligning banking practices with Environmental, Social, and Governance (ESG) criteria. Investors and customers alike are demanding greener financial products.</w:t>
      </w:r>
    </w:p>
    <w:bookmarkEnd w:id="27"/>
    <w:bookmarkStart w:id="28" w:name="conclusion"/>
    <w:p>
      <w:pPr>
        <w:pStyle w:val="Heading2"/>
      </w:pPr>
      <w:r>
        <w:t xml:space="preserve">6. Conclusion</w:t>
      </w:r>
    </w:p>
    <w:p>
      <w:pPr>
        <w:pStyle w:val="FirstParagraph"/>
      </w:pPr>
      <w:r>
        <w:t xml:space="preserve">The role of the banker in Australia Melbourne is transitioning from a gatekeeper of capital to a facilitator of sustainable economic participation. The convergence of regulatory pressure, technological advancement, and social responsibility demands a new breed of financial professional. This paper concludes that the successful banker will be one who embodies ethical integrity, embraces digital innovation, and demonstrates genuine commitment to Indigenous inclusion. By adapting to these changes, the banking sector in Australia Melbourne can continue to serve as a pillar of economic stability while fostering greater social equity and trust.</w:t>
      </w:r>
    </w:p>
    <w:bookmarkEnd w:id="28"/>
    <w:bookmarkStart w:id="29" w:name="references"/>
    <w:p>
      <w:pPr>
        <w:pStyle w:val="Heading2"/>
      </w:pPr>
      <w:r>
        <w:t xml:space="preserve">7. References</w:t>
      </w:r>
    </w:p>
    <w:p>
      <w:pPr>
        <w:numPr>
          <w:ilvl w:val="0"/>
          <w:numId w:val="1004"/>
        </w:numPr>
        <w:pStyle w:val="Compact"/>
      </w:pPr>
      <w:r>
        <w:t xml:space="preserve">Australian Prudential Regulation Authority (APRA). (2023). *Indigenous Financial Inclusion Strategy*.</w:t>
      </w:r>
    </w:p>
    <w:p>
      <w:pPr>
        <w:numPr>
          <w:ilvl w:val="0"/>
          <w:numId w:val="1004"/>
        </w:numPr>
        <w:pStyle w:val="Compact"/>
      </w:pPr>
      <w:r>
        <w:t xml:space="preserve">Hanover Research Group. (2019). *Royal Commission into Misconduct in the Banking, Superannuation and Financial Services Industry*. Australia Melbourne.</w:t>
      </w:r>
    </w:p>
    <w:p>
      <w:pPr>
        <w:numPr>
          <w:ilvl w:val="0"/>
          <w:numId w:val="1004"/>
        </w:numPr>
        <w:pStyle w:val="Compact"/>
      </w:pPr>
      <w:r>
        <w:t xml:space="preserve">Royal Australian Bankers Association (RBA). (2024). *Digital Transformation in Australian Banking*.</w:t>
      </w:r>
    </w:p>
    <w:p>
      <w:pPr>
        <w:numPr>
          <w:ilvl w:val="0"/>
          <w:numId w:val="1004"/>
        </w:numPr>
        <w:pStyle w:val="Compact"/>
      </w:pPr>
      <w:r>
        <w:t xml:space="preserve">Melbourne Institute of Applied Economic Research. (2023). *The State of the Victorian Economy: Financial Services Sector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Adaptations in the Australia Melbourne Financial Hub</dc:title>
  <dc:creator/>
  <dc:language>en</dc:language>
  <cp:keywords/>
  <dcterms:created xsi:type="dcterms:W3CDTF">2026-07-29T13:26:58Z</dcterms:created>
  <dcterms:modified xsi:type="dcterms:W3CDTF">2026-07-29T13:26:58Z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