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Belgium</w:t>
      </w:r>
      <w:r>
        <w:t xml:space="preserve"> </w:t>
      </w:r>
      <w:r>
        <w:t xml:space="preserve">Brussels:</w:t>
      </w:r>
      <w:r>
        <w:t xml:space="preserve"> </w:t>
      </w:r>
      <w:r>
        <w:t xml:space="preserve">Navigating</w:t>
      </w:r>
      <w:r>
        <w:t xml:space="preserve"> </w:t>
      </w:r>
      <w:r>
        <w:t xml:space="preserve">the</w:t>
      </w:r>
      <w:r>
        <w:t xml:space="preserve"> </w:t>
      </w:r>
      <w:r>
        <w:t xml:space="preserve">European</w:t>
      </w:r>
      <w:r>
        <w:t xml:space="preserve"> </w:t>
      </w:r>
      <w:r>
        <w:t xml:space="preserve">Financial</w:t>
      </w:r>
      <w:r>
        <w:t xml:space="preserve"> </w:t>
      </w:r>
      <w:r>
        <w:t xml:space="preserve">Hub</w:t>
      </w:r>
    </w:p>
    <w:bookmarkStart w:id="27" w:name="X026324ae3d164cdbcf62222a416b5822496735a"/>
    <w:p>
      <w:pPr>
        <w:pStyle w:val="Heading1"/>
      </w:pPr>
      <w:r>
        <w:t xml:space="preserve">The Strategic Evolution of the Banker in Belgium Brussels:</w:t>
      </w:r>
      <w:r>
        <w:br/>
      </w:r>
      <w:r>
        <w:t xml:space="preserve">Navigating the European Financial Hub</w:t>
      </w:r>
    </w:p>
    <w:p>
      <w:pPr>
        <w:pStyle w:val="FirstParagraph"/>
      </w:pPr>
      <w:r>
        <w:t xml:space="preserve">Prepared for the International Conference on European Banking and Regulatory Compliance</w:t>
      </w:r>
      <w:r>
        <w:br/>
      </w:r>
      <w:r>
        <w:t xml:space="preserve">Date: October 24, 2023</w:t>
      </w:r>
      <w:r>
        <w:br/>
      </w:r>
      <w:r>
        <w:t xml:space="preserve">Author: Dr. Elena Verstraeten, Senior Fellow at the Institute for Financial Studies</w:t>
      </w:r>
    </w:p>
    <w:p>
      <w:pPr>
        <w:pStyle w:val="BodyText"/>
      </w:pPr>
      <w:r>
        <w:rPr>
          <w:bCs/>
          <w:b/>
        </w:rPr>
        <w:t xml:space="preserve">Abstract</w:t>
      </w:r>
      <w:r>
        <w:br/>
      </w:r>
      <w:r>
        <w:t xml:space="preserve">This conference paper examines the critical role of the modern banker operating within Belgium Brussels, a city that has evolved from a national financial center into a pivotal node of European supranational finance. As regulatory frameworks tighten and geopolitical uncertainties rise, the traditional duties of the banker are being redefined by their proximity to key European institutions such as the European Central Bank (ECB), the Single Resolution Board (SRB), and various diplomatic missions representing global banking sectors. This study analyzes how bankers in Belgium Brussels must navigate a complex triad of national Belgian fiscal policies, strict EU regulatory mandates, and international diplomatic nuances. By exploring case studies from the recent financial consolidation era and analyzing current trends in green finance compliance, this paper argues that the banker in this specific geopolitical context serves not merely as a fiduciary agent but as a crucial intermediary between private capital markets and public policy objectives.</w:t>
      </w:r>
    </w:p>
    <w:bookmarkStart w:id="20" w:name="introduction"/>
    <w:p>
      <w:pPr>
        <w:pStyle w:val="Heading2"/>
      </w:pPr>
      <w:r>
        <w:t xml:space="preserve">1. Introduction</w:t>
      </w:r>
    </w:p>
    <w:p>
      <w:pPr>
        <w:pStyle w:val="FirstParagraph"/>
      </w:pPr>
      <w:r>
        <w:t xml:space="preserve">The concept of the "banker" has historically been rooted in the management of assets, risk mitigation, and credit allocation within localized economies. However, in the contemporary globalized financial landscape, particularly within Belgium Brussels, this definition requires significant expansion. Belgium Brussels is unique; it is both a capital city with its own domestic economic challenges and the de facto political capital of the European Union. Consequently, any banker operating in this jurisdiction must possess a dual competence: deep technical expertise in banking law and finance, alongside a sophisticated understanding of EU legislative processes.</w:t>
      </w:r>
    </w:p>
    <w:p>
      <w:pPr>
        <w:pStyle w:val="BodyText"/>
      </w:pPr>
      <w:r>
        <w:t xml:space="preserve">This conference paper aims to dissect how these factors intersect. We explore how the physical presence of global banks in Belgium Brussels is driven less by domestic retail lending opportunities and more by proximity to regulatory bodies that set the standards for continental banking. The banker here acts as a lobbyist, a compliance officer, and an investor simultaneously. Understanding this hybrid role is essential for stakeholders interested in the stability of European financial markets.</w:t>
      </w:r>
    </w:p>
    <w:bookmarkEnd w:id="20"/>
    <w:bookmarkStart w:id="21" w:name="X622dc0b9f7a31762ef4f121e3b75eecbfa8afd0"/>
    <w:p>
      <w:pPr>
        <w:pStyle w:val="Heading2"/>
      </w:pPr>
      <w:r>
        <w:t xml:space="preserve">2. The Geopolitical Context: Why Belgium Brussels Matters</w:t>
      </w:r>
    </w:p>
    <w:p>
      <w:pPr>
        <w:pStyle w:val="FirstParagraph"/>
      </w:pPr>
      <w:r>
        <w:t xml:space="preserve">To understand the modern banker, one must first appreciate the geography of power. Belgium Brussels hosts a dense concentration of international organizations, including NATO and numerous EU institutions that directly impact financial regulation. For a multinational bank headquartered elsewhere in Europe or globally, establishing a presence in Belgium Brussels is often mandatory for regulatory engagement.</w:t>
      </w:r>
    </w:p>
    <w:p>
      <w:pPr>
        <w:pStyle w:val="BodyText"/>
      </w:pPr>
      <w:r>
        <w:t xml:space="preserve">The Single Supervisory Mechanism (SSM) and the Single Resolution Board (SRB), both based in this region, oversee major European banking groups. Therefore, the banker assigned to these offices is not just managing client relationships but is actively participating in dialogues that shape prudential requirements. This proximity allows bankers to anticipate regulatory shifts before they are codified into law, providing a strategic advantage in compliance and risk management.</w:t>
      </w:r>
    </w:p>
    <w:p>
      <w:pPr>
        <w:pStyle w:val="BodyText"/>
      </w:pPr>
      <w:r>
        <w:t xml:space="preserve">Furthermore, Belgium Brussels serves as a hub for international diplomacy. Many emerging market economies maintain embassies here or liaise with the EU through these diplomatic channels. Bankers facilitating cross-border transactions between EU entities and third countries often utilize this diplomatic infrastructure to navigate sanctions lists, trade agreements, and investment protection treaties.</w:t>
      </w:r>
    </w:p>
    <w:bookmarkEnd w:id="21"/>
    <w:bookmarkStart w:id="22" w:name="X60b18fb69c46e3d63c16a49b776e3d31ef083ea"/>
    <w:p>
      <w:pPr>
        <w:pStyle w:val="Heading2"/>
      </w:pPr>
      <w:r>
        <w:t xml:space="preserve">3. The Changing Role of the Banker in Compliance</w:t>
      </w:r>
    </w:p>
    <w:p>
      <w:pPr>
        <w:pStyle w:val="FirstParagraph"/>
      </w:pPr>
      <w:r>
        <w:t xml:space="preserve">The era of deregulation has largely given way to an age of hyper-regulation. For the banker in Belgium Brussels, this means that compliance is no longer a back-office function but a strategic core competency. Recent amendments to Anti-Money Laundering (AML) directives and the implementation of the Markets in Financial Instruments Directive II (MiFID II) have placed immense pressure on banking institutions.</w:t>
      </w:r>
    </w:p>
    <w:p>
      <w:pPr>
        <w:pStyle w:val="BodyText"/>
      </w:pPr>
      <w:r>
        <w:t xml:space="preserve">In Belgium Brussels, bankers are increasingly required to engage directly with regulators during policy consultations. They provide feedback on draft regulations, ensuring that practical banking realities are considered alongside theoretical economic models. This role transforms the banker into a semi-regulatory actor who helps shape the very rules they must follow. Consequently, the skill set of the modern banker in this region has shifted heavily toward legal analysis and policy interpretation.</w:t>
      </w:r>
    </w:p>
    <w:p>
      <w:pPr>
        <w:pStyle w:val="BodyText"/>
      </w:pPr>
      <w:r>
        <w:t xml:space="preserve">Moreover, Belgium Brussels is at the forefront of implementing Sustainable Finance Disclosure Regulation (SFDR) requirements. Bankers are tasked with ensuring that investment products marketed across Europe meet stringent environmental, social, and governance (ESG) criteria. This requires a deep understanding of taxonomy regulations and the ability to verify green claims within complex supply chains.</w:t>
      </w:r>
    </w:p>
    <w:bookmarkEnd w:id="22"/>
    <w:bookmarkStart w:id="23" w:name="challenges-facing-the-modern-banker"/>
    <w:p>
      <w:pPr>
        <w:pStyle w:val="Heading2"/>
      </w:pPr>
      <w:r>
        <w:t xml:space="preserve">4. Challenges Facing the Modern Banker</w:t>
      </w:r>
    </w:p>
    <w:p>
      <w:pPr>
        <w:pStyle w:val="FirstParagraph"/>
      </w:pPr>
      <w:r>
        <w:t xml:space="preserve">Despite its strategic importance, Belgium Brussels presents unique challenges for banking professionals. The cost of operation in this district is among the highest in Europe, requiring banks to justify significant overheads through high-value advisory services rather than volume-based retail transactions. This economic pressure forces a consolidation of functions, where fewer bankers must handle broader portfolios of regulatory and diplomatic affairs.</w:t>
      </w:r>
    </w:p>
    <w:p>
      <w:pPr>
        <w:pStyle w:val="BodyText"/>
      </w:pPr>
      <w:r>
        <w:t xml:space="preserve">Additionally, political volatility poses a risk. While Belgium Brussels is stable compared to some global capitals, the nature of EU politics involves constant negotiation between member states with differing economic philosophies. Bankers must navigate these tensions carefully to avoid being caught in crossfires between protectionist and liberalizing factions within the European Parliament.</w:t>
      </w:r>
    </w:p>
    <w:p>
      <w:pPr>
        <w:pStyle w:val="BodyText"/>
      </w:pPr>
      <w:r>
        <w:t xml:space="preserve">Cybersecurity also remains a paramount concern. As hubs for financial regulation, Belgium Brussels is a prime target for cyber-espionage. Bankers operating here must adhere to rigorous data protection standards under GDPR, ensuring that sensitive client information and strategic proprietary data are safeguarded against sophisticated threats.</w:t>
      </w:r>
    </w:p>
    <w:bookmarkEnd w:id="23"/>
    <w:bookmarkStart w:id="24" w:name="Xe90eb113e1bd5ccfd82984c98a996f9a66215b9"/>
    <w:p>
      <w:pPr>
        <w:pStyle w:val="Heading2"/>
      </w:pPr>
      <w:r>
        <w:t xml:space="preserve">5. The Future Outlook: Digitalization and Green Transition</w:t>
      </w:r>
    </w:p>
    <w:p>
      <w:pPr>
        <w:pStyle w:val="FirstParagraph"/>
      </w:pPr>
      <w:r>
        <w:t xml:space="preserve">Looking ahead, the banker in Belgium Brussels will likely play a central role in financing the European Green Deal. The transition to a carbon-neutral economy requires trillions of euros in investment, much of which will be channeled through banking instruments such as green bonds and sustainability-linked loans.</w:t>
      </w:r>
    </w:p>
    <w:p>
      <w:pPr>
        <w:pStyle w:val="BodyText"/>
      </w:pPr>
      <w:r>
        <w:t xml:space="preserve">Digitalization continues to reshape the landscape. While physical presence remains vital for regulatory lobbying, digital platforms are increasingly used for client engagement. Bankers must balance the human element required for high-stakes diplomatic and regulatory negotiations with the efficiency gains offered by fintech solutions.</w:t>
      </w:r>
    </w:p>
    <w:p>
      <w:pPr>
        <w:pStyle w:val="BodyText"/>
      </w:pPr>
      <w:r>
        <w:t xml:space="preserve">The rise of Central Bank Digital Currencies (CBDCs) also presents opportunities. Given that the ECB is actively exploring digital euro implementations, bankers in Belgium Brussels are positioned to influence pilot programs and integration strategies.</w:t>
      </w:r>
    </w:p>
    <w:bookmarkEnd w:id="24"/>
    <w:bookmarkStart w:id="25" w:name="conclusion"/>
    <w:p>
      <w:pPr>
        <w:pStyle w:val="Heading2"/>
      </w:pPr>
      <w:r>
        <w:t xml:space="preserve">6. Conclusion</w:t>
      </w:r>
    </w:p>
    <w:p>
      <w:pPr>
        <w:pStyle w:val="FirstParagraph"/>
      </w:pPr>
      <w:r>
        <w:t xml:space="preserve">In conclusion, the banker operating in Belgium Brussels is a distinct professional archetype shaped by the unique confluence of national Belgian interests and supranational European governance. This role transcends traditional banking definitions, encompassing elements of diplomacy, regulatory advocacy, and strategic risk management.</w:t>
      </w:r>
    </w:p>
    <w:p>
      <w:pPr>
        <w:pStyle w:val="BodyText"/>
      </w:pPr>
      <w:r>
        <w:t xml:space="preserve">As Europe faces increasing economic headwinds from geopolitical instability and environmental challenges, the importance of skilled bankers in this hub cannot be overstated. They serve as the connective tissue between private capital and public policy. Future research should focus on quantifying the impact of regulatory lobbying by banking institutions on final legislative outcomes, further illuminating the profound influence these professionals exert within Belgium Brussels.</w:t>
      </w:r>
    </w:p>
    <w:bookmarkEnd w:id="25"/>
    <w:bookmarkStart w:id="26" w:name="references"/>
    <w:p>
      <w:pPr>
        <w:pStyle w:val="Heading2"/>
      </w:pPr>
      <w:r>
        <w:t xml:space="preserve">References</w:t>
      </w:r>
    </w:p>
    <w:p>
      <w:pPr>
        <w:pStyle w:val="FirstParagraph"/>
      </w:pPr>
      <w:r>
        <w:t xml:space="preserve">[1] European Central Bank. (2023). *Annual Report on Financial Stability*. Frankfurt: ECB Publishing.</w:t>
      </w:r>
    </w:p>
    <w:p>
      <w:pPr>
        <w:pStyle w:val="BodyText"/>
      </w:pPr>
      <w:r>
        <w:t xml:space="preserve">[2] Belgian National Bank. (2024). *Statistical Bulletin: Banking Sector Overview*. Brussels: NBB.</w:t>
      </w:r>
    </w:p>
    <w:p>
      <w:pPr>
        <w:pStyle w:val="BodyText"/>
      </w:pPr>
      <w:r>
        <w:t xml:space="preserve">[3] European Commission. (2023). *Sustainable Finance Strategy and Action Plan*. Brussels: EU Publications Office.</w:t>
      </w:r>
    </w:p>
    <w:p>
      <w:pPr>
        <w:pStyle w:val="BodyText"/>
      </w:pPr>
      <w:r>
        <w:t xml:space="preserve">[4] Verstraeten, E. (2022). "Lobbying in the Eurozone: The Role of Financial Institutions in Policy Making." *Journal of European Banking Law*, 15(3), 45-67.</w:t>
      </w:r>
    </w:p>
    <w:p>
      <w:pPr>
        <w:pStyle w:val="BodyText"/>
      </w:pPr>
      <w:r>
        <w:t xml:space="preserve">[5] Single Resolution Board. (2023). *Banking Watchlist Report*. Brussels: SRB.</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Banker in Belgium Brussels: Navigating the European Financial Hub</dc:title>
  <dc:creator/>
  <dc:language>en</dc:language>
  <cp:keywords/>
  <dcterms:created xsi:type="dcterms:W3CDTF">2026-07-29T12:28:42Z</dcterms:created>
  <dcterms:modified xsi:type="dcterms:W3CDTF">2026-07-29T12:28:42Z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