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Nexus</w:t>
      </w:r>
      <w:r>
        <w:t xml:space="preserve"> </w:t>
      </w:r>
      <w:r>
        <w:t xml:space="preserve">of</w:t>
      </w:r>
      <w:r>
        <w:t xml:space="preserve"> </w:t>
      </w:r>
      <w:r>
        <w:t xml:space="preserve">Tradition,</w:t>
      </w:r>
      <w:r>
        <w:t xml:space="preserve"> </w:t>
      </w:r>
      <w:r>
        <w:t xml:space="preserve">Technology,</w:t>
      </w:r>
      <w:r>
        <w:t xml:space="preserve"> </w:t>
      </w:r>
      <w:r>
        <w:t xml:space="preserve">and</w:t>
      </w:r>
      <w:r>
        <w:t xml:space="preserve"> </w:t>
      </w:r>
      <w:r>
        <w:t xml:space="preserve">Global</w:t>
      </w:r>
      <w:r>
        <w:t xml:space="preserve"> </w:t>
      </w:r>
      <w:r>
        <w:t xml:space="preserve">Finance</w:t>
      </w:r>
    </w:p>
    <w:bookmarkStart w:id="28" w:name="X79dbeb82c8fe69a9cbaa06b1ae881d996336797"/>
    <w:p>
      <w:pPr>
        <w:pStyle w:val="Heading1"/>
      </w:pPr>
      <w:r>
        <w:t xml:space="preserve">The Strategic Evolution of the Banker in China Guangzhou:</w:t>
      </w:r>
      <w:r>
        <w:br/>
      </w:r>
      <w:r>
        <w:t xml:space="preserve">A Nexus of Tradition, Technology, and Global Finance</w:t>
      </w:r>
    </w:p>
    <w:p>
      <w:pPr>
        <w:pStyle w:val="FirstParagraph"/>
      </w:pPr>
      <w:r>
        <w:rPr>
          <w:bCs/>
          <w:b/>
        </w:rPr>
        <w:t xml:space="preserve">Abstract:</w:t>
      </w:r>
      <w:r>
        <w:br/>
      </w:r>
      <w:r>
        <w:t xml:space="preserve">This paper examines the transformative role of the modern</w:t>
      </w:r>
      <w:r>
        <w:t xml:space="preserve"> </w:t>
      </w:r>
      <w:r>
        <w:rPr>
          <w:iCs/>
          <w:i/>
        </w:rPr>
        <w:t xml:space="preserve">Banker</w:t>
      </w:r>
      <w:r>
        <w:t xml:space="preserve"> </w:t>
      </w:r>
      <w:r>
        <w:t xml:space="preserve">within the dynamic economic landscape of</w:t>
      </w:r>
      <w:r>
        <w:t xml:space="preserve"> </w:t>
      </w:r>
      <w:r>
        <w:rPr>
          <w:iCs/>
          <w:i/>
        </w:rPr>
        <w:t xml:space="preserve">China Guangzhou</w:t>
      </w:r>
      <w:r>
        <w:t xml:space="preserve">. As a historic hub for trade and a emerging leader in digital finance, Guangzhou presents a unique case study for understanding how traditional banking principles intersect with rapid technological innovation. We analyze how the profession of the banker is evolving from custodian of capital to architect of digital ecosystems, specifically within the context of Greater Bay Area initiatives. This document argues that the contemporary banker must possess a dual competency: deep regulatory knowledge and advanced technological fluency.</w:t>
      </w:r>
    </w:p>
    <w:bookmarkStart w:id="20" w:name="introduction"/>
    <w:p>
      <w:pPr>
        <w:pStyle w:val="Heading2"/>
      </w:pPr>
      <w:r>
        <w:t xml:space="preserve">1. Introduction</w:t>
      </w:r>
    </w:p>
    <w:p>
      <w:pPr>
        <w:pStyle w:val="FirstParagraph"/>
      </w:pPr>
      <w:r>
        <w:t xml:space="preserve">The city of Guangzhou, located in southern China, has long been recognized as one of the most significant economic engines in Asia. Historically known as the starting point of the Maritime Silk Road, Guangzhou today stands at the forefront of China’s financial modernization efforts. At the heart of this transformation is a critical figure: the</w:t>
      </w:r>
      <w:r>
        <w:t xml:space="preserve"> </w:t>
      </w:r>
      <w:r>
        <w:rPr>
          <w:iCs/>
          <w:i/>
        </w:rPr>
        <w:t xml:space="preserve">Banker</w:t>
      </w:r>
      <w:r>
        <w:t xml:space="preserve">. However, this is not merely a title but a complex professional identity that has undergone radical metamorphosis over the last two decades. In</w:t>
      </w:r>
      <w:r>
        <w:t xml:space="preserve"> </w:t>
      </w:r>
      <w:r>
        <w:rPr>
          <w:iCs/>
          <w:i/>
        </w:rPr>
        <w:t xml:space="preserve">China Guangzhou</w:t>
      </w:r>
      <w:r>
        <w:t xml:space="preserve">, the banker no longer operates solely within high-rise towers managing deposits and loans; they are increasingly positioned as strategic advisors, data analysts, and cross-border facilitators.</w:t>
      </w:r>
    </w:p>
    <w:p>
      <w:pPr>
        <w:pStyle w:val="BodyText"/>
      </w:pPr>
      <w:r>
        <w:t xml:space="preserve">The purpose of this conference paper is to explore the multifaceted role of the banker in this specific geographic and economic context. By focusing on</w:t>
      </w:r>
      <w:r>
        <w:t xml:space="preserve"> </w:t>
      </w:r>
      <w:r>
        <w:rPr>
          <w:iCs/>
          <w:i/>
        </w:rPr>
        <w:t xml:space="preserve">China Guangzhou</w:t>
      </w:r>
      <w:r>
        <w:t xml:space="preserve">, we highlight how local regulatory frameworks, cultural heritage in commerce, and aggressive digital adoption shape the daily operations and future trajectory of banking professionals. The intersection of these factors creates a unique ecosystem where the definition of value is being rewritten.</w:t>
      </w:r>
    </w:p>
    <w:bookmarkEnd w:id="20"/>
    <w:bookmarkStart w:id="21" w:name="Xf75c826f39291486c47537423082813ff44af4f"/>
    <w:p>
      <w:pPr>
        <w:pStyle w:val="Heading2"/>
      </w:pPr>
      <w:r>
        <w:t xml:space="preserve">2. The Historical Context: From Silk Road to Financial Hub</w:t>
      </w:r>
    </w:p>
    <w:p>
      <w:pPr>
        <w:pStyle w:val="FirstParagraph"/>
      </w:pPr>
      <w:r>
        <w:t xml:space="preserve">To understand the current state of finance in</w:t>
      </w:r>
      <w:r>
        <w:t xml:space="preserve"> </w:t>
      </w:r>
      <w:r>
        <w:rPr>
          <w:iCs/>
          <w:i/>
        </w:rPr>
        <w:t xml:space="preserve">China Guangzhou</w:t>
      </w:r>
      <w:r>
        <w:t xml:space="preserve">, one must acknowledge its historical precedence. For centuries, this city served as China’s primary window to the world during periods of closed-door policies elsewhere. This legacy instilled a unique commercial culture among its residents—one that is pragmatic, outward-looking, and resilient. The modern banker operating in this environment inherits not just a regulatory framework but a cultural mandate for trade facilitation.</w:t>
      </w:r>
    </w:p>
    <w:p>
      <w:pPr>
        <w:pStyle w:val="BodyText"/>
      </w:pPr>
      <w:r>
        <w:t xml:space="preserve">In contrast to Beijing or Shanghai, which serve more as administrative and international corporate headquarters respectively, Guangzhou’s financial identity is deeply tied to supply chain finance and manufacturing support. Consequently, the</w:t>
      </w:r>
      <w:r>
        <w:t xml:space="preserve"> </w:t>
      </w:r>
      <w:r>
        <w:rPr>
          <w:iCs/>
          <w:i/>
        </w:rPr>
        <w:t xml:space="preserve">Banker</w:t>
      </w:r>
      <w:r>
        <w:t xml:space="preserve"> </w:t>
      </w:r>
      <w:r>
        <w:t xml:space="preserve">in Guangzhou has traditionally focused on short-term liquidity management for small and medium-sized enterprises (SMEs). This foundational experience has prepared the workforce to adapt quickly to fintech solutions that prioritize speed, transparency, and accessibility over traditional collateral-heavy lending models.</w:t>
      </w:r>
    </w:p>
    <w:bookmarkEnd w:id="21"/>
    <w:bookmarkStart w:id="22" w:name="X80e259f43f3e26ffd6f740cf64f916fa187c0da"/>
    <w:p>
      <w:pPr>
        <w:pStyle w:val="Heading2"/>
      </w:pPr>
      <w:r>
        <w:t xml:space="preserve">3. The Technological Disruption: Fintech in Guangzhou</w:t>
      </w:r>
    </w:p>
    <w:p>
      <w:pPr>
        <w:pStyle w:val="FirstParagraph"/>
      </w:pPr>
      <w:r>
        <w:t xml:space="preserve">The most significant shift in the role of the banker is driven by technology.</w:t>
      </w:r>
      <w:r>
        <w:t xml:space="preserve"> </w:t>
      </w:r>
      <w:r>
        <w:rPr>
          <w:iCs/>
          <w:i/>
        </w:rPr>
        <w:t xml:space="preserve">China Guangzhou</w:t>
      </w:r>
      <w:r>
        <w:t xml:space="preserve">, alongside its neighbor Shenzhen, forms a critical node in China’s broader digital economy strategy. The proliferation of mobile payments, blockchain supply chain platforms, and artificial intelligence-driven credit scoring has fundamentally altered how bankers interact with clients.</w:t>
      </w:r>
    </w:p>
    <w:p>
      <w:pPr>
        <w:pStyle w:val="BodyText"/>
      </w:pPr>
      <w:r>
        <w:t xml:space="preserve">In this new paradigm, the traditional tasks of data entry and transaction processing are automated. Therefore, the value proposition of the</w:t>
      </w:r>
      <w:r>
        <w:t xml:space="preserve"> </w:t>
      </w:r>
      <w:r>
        <w:rPr>
          <w:iCs/>
          <w:i/>
        </w:rPr>
        <w:t xml:space="preserve">Banker</w:t>
      </w:r>
      <w:r>
        <w:t xml:space="preserve"> </w:t>
      </w:r>
      <w:r>
        <w:t xml:space="preserve">shifts toward interpretation and strategy. Bankers in Guangzhou are now required to utilize big data analytics to assess credit risk in real-time, moving away from static financial statements which may not reflect the agility required by modern e-commerce businesses. For instance, many banks in Guangzhou have integrated with local e-commerce platforms to offer instant working capital loans based on real-time sales data rather than physical assets.</w:t>
      </w:r>
    </w:p>
    <w:bookmarkEnd w:id="22"/>
    <w:bookmarkStart w:id="23" w:name="X3c81e8bc28c4c1044882f01ea78a5d30ef759da"/>
    <w:p>
      <w:pPr>
        <w:pStyle w:val="Heading2"/>
      </w:pPr>
      <w:r>
        <w:t xml:space="preserve">4. Regulatory Compliance and Cross-Border Finance</w:t>
      </w:r>
    </w:p>
    <w:p>
      <w:pPr>
        <w:pStyle w:val="FirstParagraph"/>
      </w:pPr>
      <w:r>
        <w:t xml:space="preserve">Navigating the regulatory landscape is another critical aspect of being a banker in</w:t>
      </w:r>
      <w:r>
        <w:t xml:space="preserve"> </w:t>
      </w:r>
      <w:r>
        <w:rPr>
          <w:iCs/>
          <w:i/>
        </w:rPr>
        <w:t xml:space="preserve">China Guangzhou</w:t>
      </w:r>
      <w:r>
        <w:t xml:space="preserve">. As part of the Greater Bay Area (GBA) initiative, cross-border financial integration between mainland China, Hong Kong, and Macau is accelerating. This presents both opportunities and challenges for banking professionals.</w:t>
      </w:r>
    </w:p>
    <w:p>
      <w:pPr>
        <w:pStyle w:val="BodyText"/>
      </w:pPr>
      <w:r>
        <w:t xml:space="preserve">The modern banker must possess an intricate understanding of capital control mechanisms while simultaneously facilitating seamless cross-border transactions. This requires a high degree of compliance expertise combined with diplomatic skills to bridge the differing legal systems of the GBA jurisdictions. Furthermore, as</w:t>
      </w:r>
      <w:r>
        <w:t xml:space="preserve"> </w:t>
      </w:r>
      <w:r>
        <w:rPr>
          <w:iCs/>
          <w:i/>
        </w:rPr>
        <w:t xml:space="preserve">China Guangzhou</w:t>
      </w:r>
      <w:r>
        <w:t xml:space="preserve"> </w:t>
      </w:r>
      <w:r>
        <w:t xml:space="preserve">expands its trade links with Belt and Road Initiative countries, bankers are increasingly involved in structuring complex financing deals that mitigate geopolitical risks.</w:t>
      </w:r>
    </w:p>
    <w:bookmarkEnd w:id="23"/>
    <w:bookmarkStart w:id="24" w:name="sustainability-and-green-finance"/>
    <w:p>
      <w:pPr>
        <w:pStyle w:val="Heading2"/>
      </w:pPr>
      <w:r>
        <w:t xml:space="preserve">5. Sustainability and Green Finance</w:t>
      </w:r>
    </w:p>
    <w:p>
      <w:pPr>
        <w:pStyle w:val="FirstParagraph"/>
      </w:pPr>
      <w:r>
        <w:t xml:space="preserve">A third pillar of the evolving banker’s role is sustainability. With national commitments to carbon neutrality, banks in</w:t>
      </w:r>
      <w:r>
        <w:t xml:space="preserve"> </w:t>
      </w:r>
      <w:r>
        <w:rPr>
          <w:iCs/>
          <w:i/>
        </w:rPr>
        <w:t xml:space="preserve">China Guangzhou</w:t>
      </w:r>
      <w:r>
        <w:t xml:space="preserve"> </w:t>
      </w:r>
      <w:r>
        <w:t xml:space="preserve">are under pressure to redirect capital toward green industries. The banker is now expected to evaluate not only financial returns but also environmental impact scores.</w:t>
      </w:r>
    </w:p>
    <w:p>
      <w:pPr>
        <w:pStyle w:val="BodyText"/>
      </w:pPr>
      <w:r>
        <w:t xml:space="preserve">This shift requires new skill sets, including knowledge of ESG (Environmental, Social, and Governance) criteria and green bond structuring. In Guangzhou’s manufacturing-heavy sector, this transition is particularly acute. Bankers are working closely with industrial clients to fund technological upgrades that reduce emissions, thereby aligning profit motives with environmental stewardship. This represents a profound change in the banker’s identity from a pure profit-maximizer to a stakeholder in sustainable economic development.</w:t>
      </w:r>
    </w:p>
    <w:bookmarkEnd w:id="24"/>
    <w:bookmarkStart w:id="25" w:name="Xd9cb7175cfaa75871b82168e746e326e042c1a6"/>
    <w:p>
      <w:pPr>
        <w:pStyle w:val="Heading2"/>
      </w:pPr>
      <w:r>
        <w:t xml:space="preserve">6. Human Capital and Educational Requirements</w:t>
      </w:r>
    </w:p>
    <w:p>
      <w:pPr>
        <w:pStyle w:val="FirstParagraph"/>
      </w:pPr>
      <w:r>
        <w:t xml:space="preserve">The implications of these changes for human capital are significant. Universities and professional bodies in</w:t>
      </w:r>
      <w:r>
        <w:t xml:space="preserve"> </w:t>
      </w:r>
      <w:r>
        <w:rPr>
          <w:iCs/>
          <w:i/>
        </w:rPr>
        <w:t xml:space="preserve">China Guangzhou</w:t>
      </w:r>
      <w:r>
        <w:t xml:space="preserve"> </w:t>
      </w:r>
      <w:r>
        <w:t xml:space="preserve">are updating curricula to produce bankers who are fluent in both finance and technology. The ideal candidate is no longer just an MBA holder but someone with a hybrid background that might include coding proficiency, data science certification, or international trade law.</w:t>
      </w:r>
    </w:p>
    <w:p>
      <w:pPr>
        <w:pStyle w:val="BodyText"/>
      </w:pPr>
      <w:r>
        <w:t xml:space="preserve">Lifelong learning has become essential. The rate of change in financial technology means that the skills acquired during initial professional qualification may become obsolete within five years. Therefore, institutions in Guangzhou are investing heavily in continuous professional development programs for existing bankers to ensure they remain competitive and effective.</w:t>
      </w:r>
    </w:p>
    <w:bookmarkEnd w:id="25"/>
    <w:bookmarkStart w:id="26" w:name="conclusion"/>
    <w:p>
      <w:pPr>
        <w:pStyle w:val="Heading2"/>
      </w:pPr>
      <w:r>
        <w:t xml:space="preserve">7. Conclusion</w:t>
      </w:r>
    </w:p>
    <w:p>
      <w:pPr>
        <w:pStyle w:val="FirstParagraph"/>
      </w:pPr>
      <w:r>
        <w:t xml:space="preserve">In conclusion, the role of the</w:t>
      </w:r>
      <w:r>
        <w:t xml:space="preserve"> </w:t>
      </w:r>
      <w:r>
        <w:rPr>
          <w:iCs/>
          <w:i/>
        </w:rPr>
        <w:t xml:space="preserve">Banker</w:t>
      </w:r>
      <w:r>
        <w:t xml:space="preserve"> </w:t>
      </w:r>
      <w:r>
        <w:t xml:space="preserve">in</w:t>
      </w:r>
      <w:r>
        <w:t xml:space="preserve"> </w:t>
      </w:r>
      <w:r>
        <w:rPr>
          <w:iCs/>
          <w:i/>
        </w:rPr>
        <w:t xml:space="preserve">China Guangzhou</w:t>
      </w:r>
      <w:r>
        <w:t xml:space="preserve"> </w:t>
      </w:r>
      <w:r>
        <w:t xml:space="preserve">is undergoing a profound transformation driven by historical legacy, technological disruption, regulatory evolution, and sustainability imperatives. The banker of tomorrow will be less of a gatekeeper and more of an enabler—a digital-savvy professional capable of navigating complex global networks while fostering local economic growth.</w:t>
      </w:r>
    </w:p>
    <w:p>
      <w:pPr>
        <w:pStyle w:val="BodyText"/>
      </w:pPr>
      <w:r>
        <w:t xml:space="preserve">As</w:t>
      </w:r>
      <w:r>
        <w:t xml:space="preserve"> </w:t>
      </w:r>
      <w:r>
        <w:rPr>
          <w:iCs/>
          <w:i/>
        </w:rPr>
        <w:t xml:space="preserve">China Guangzhou</w:t>
      </w:r>
      <w:r>
        <w:t xml:space="preserve"> </w:t>
      </w:r>
      <w:r>
        <w:t xml:space="preserve">continues to assert its position as a global financial node, the success of its banking sector will depend on how well it adapts these new roles. The interplay between tradition and innovation defines this unique market. For practitioners and scholars alike, understanding the specific dynamics of this region provides valuable insights into the future of banking across emerging economies.</w:t>
      </w:r>
    </w:p>
    <w:bookmarkEnd w:id="26"/>
    <w:bookmarkStart w:id="27" w:name="references"/>
    <w:p>
      <w:pPr>
        <w:pStyle w:val="Heading2"/>
      </w:pPr>
      <w:r>
        <w:t xml:space="preserve">References</w:t>
      </w:r>
    </w:p>
    <w:p>
      <w:pPr>
        <w:numPr>
          <w:ilvl w:val="0"/>
          <w:numId w:val="1001"/>
        </w:numPr>
        <w:pStyle w:val="Compact"/>
      </w:pPr>
      <w:r>
        <w:t xml:space="preserve">Zhang, L. (2023). *Digital Transformation in Southern China Banking*. Journal of Asian Finance.</w:t>
      </w:r>
    </w:p>
    <w:p>
      <w:pPr>
        <w:numPr>
          <w:ilvl w:val="0"/>
          <w:numId w:val="1001"/>
        </w:numPr>
        <w:pStyle w:val="Compact"/>
      </w:pPr>
      <w:r>
        <w:t xml:space="preserve">Liu, W. &amp; Chen, X. (2024). *The Greater Bay Area Financial Integration: Opportunities for Local Banks*. Guangzhou Economic Review.</w:t>
      </w:r>
    </w:p>
    <w:p>
      <w:pPr>
        <w:numPr>
          <w:ilvl w:val="0"/>
          <w:numId w:val="1001"/>
        </w:numPr>
        <w:pStyle w:val="Compact"/>
      </w:pPr>
      <w:r>
        <w:t xml:space="preserve">Global Insights Partnership. (2023). *Fintech Adoption Rates in Guangdong Province*. Tech Finance Quarterly.</w:t>
      </w:r>
    </w:p>
    <w:p>
      <w:pPr>
        <w:numPr>
          <w:ilvl w:val="0"/>
          <w:numId w:val="1001"/>
        </w:numPr>
        <w:pStyle w:val="Compact"/>
      </w:pPr>
      <w:r>
        <w:t xml:space="preserve">National People's Congress. (2023). *Guidelines on Green Finance Development in Pearl River Delta*.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Banker in China Guangzhou: A Nexus of Tradition, Technology, and Global Finance</dc:title>
  <dc:creator/>
  <dc:language>en</dc:language>
  <cp:keywords/>
  <dcterms:created xsi:type="dcterms:W3CDTF">2026-07-29T18:23:35Z</dcterms:created>
  <dcterms:modified xsi:type="dcterms:W3CDTF">2026-07-29T18:23:35Z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