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France</w:t>
      </w:r>
      <w:r>
        <w:t xml:space="preserve"> </w:t>
      </w:r>
      <w:r>
        <w:t xml:space="preserve">Paris</w:t>
      </w:r>
    </w:p>
    <w:bookmarkStart w:id="28" w:name="Xa2cf48ba31f9fdaeb0e59f4198ffd6494f24c00"/>
    <w:p>
      <w:pPr>
        <w:pStyle w:val="Heading1"/>
      </w:pPr>
      <w:r>
        <w:t xml:space="preserve">The Evolution and Strategic Role of the Banker in France Paris</w:t>
      </w:r>
    </w:p>
    <w:p>
      <w:pPr>
        <w:pStyle w:val="FirstParagraph"/>
      </w:pPr>
      <w:r>
        <w:rPr>
          <w:bCs/>
          <w:b/>
        </w:rPr>
        <w:t xml:space="preserve">Author:</w:t>
      </w:r>
      <w:r>
        <w:t xml:space="preserve"> </w:t>
      </w:r>
      <w:r>
        <w:t xml:space="preserve">Dr. Alexandre Dubois</w:t>
      </w:r>
      <w:r>
        <w:br/>
      </w:r>
      <w:r>
        <w:rPr>
          <w:bCs/>
          <w:b/>
        </w:rPr>
        <w:t xml:space="preserve">Institution:</w:t>
      </w:r>
      <w:r>
        <w:t xml:space="preserve"> </w:t>
      </w:r>
      <w:r>
        <w:t xml:space="preserve">Institute of European Financial History</w:t>
      </w:r>
      <w:r>
        <w:br/>
      </w:r>
      <w:r>
        <w:rPr>
          <w:bCs/>
          <w:b/>
        </w:rPr>
        <w:t xml:space="preserve">Date:</w:t>
      </w:r>
      <w:r>
        <w:t xml:space="preserve"> </w:t>
      </w:r>
      <w:r>
        <w:t xml:space="preserve">October 2023</w:t>
      </w:r>
      <w:r>
        <w:br/>
      </w:r>
      <w:r>
        <w:rPr>
          <w:iCs/>
          <w:i/>
        </w:rPr>
        <w:t xml:space="preserve">Paper presented at the International Conference on European Financial Systems</w:t>
      </w:r>
    </w:p>
    <w:p>
      <w:pPr>
        <w:pStyle w:val="BodyText"/>
      </w:pPr>
      <w:r>
        <w:rPr>
          <w:u w:val="single"/>
          <w:bCs/>
          <w:b/>
        </w:rPr>
        <w:t xml:space="preserve">Abstract</w:t>
      </w:r>
      <w:r>
        <w:t xml:space="preserve"> </w:t>
      </w:r>
      <w:r>
        <w:t xml:space="preserve">This conference paper explores the multifaceted role of the banker within the specific socio-economic and regulatory context of France Paris. As a global financial hub, Paris serves as a critical nexus for European capital flows, influencing not only national economic stability but also international markets. The paper examines how the traditional definition of a banker has evolved in response to digital transformation, stringent European Union regulations, and the unique cultural expectations embedded in French business practices. By analyzing historical precedents alongside contemporary challenges such as green finance and fintech integration, this study highlights why the modern banker in France Paris must embody a hybrid role: part financial architect, part regulatory guardian, and part strategic advisor to clients navigating an increasingly complex economic landscape.</w:t>
      </w:r>
    </w:p>
    <w:bookmarkStart w:id="20" w:name="introduction"/>
    <w:p>
      <w:pPr>
        <w:pStyle w:val="Heading2"/>
      </w:pPr>
      <w:r>
        <w:t xml:space="preserve">1. Introduction</w:t>
      </w:r>
    </w:p>
    <w:p>
      <w:pPr>
        <w:pStyle w:val="FirstParagraph"/>
      </w:pPr>
      <w:r>
        <w:t xml:space="preserve">The concept of the banker is often viewed through a monolithic lens in global economic literature. However, the practice of banking is deeply embedded in local legal frameworks, cultural norms, and historical contexts. In no place is this more evident than in France Paris. As the capital of France and one of Europe’s premier financial centers alongside London and Frankfurt, Paris hosts a dense concentration of major banking institutions, regulatory bodies such as the Autorité de Contrôle Prudentiel et de Résolution (ACPR), and international organizations like the International Energy Agency.</w:t>
      </w:r>
    </w:p>
    <w:p>
      <w:pPr>
        <w:pStyle w:val="BodyText"/>
      </w:pPr>
      <w:r>
        <w:t xml:space="preserve">In this context, the role of the banker cannot be understood merely as an intermediary for capital allocation. It is a position that requires a nuanced understanding of French civil law, European monetary policy dictated by the European Central Bank (ECB), and the specific demands of high-net-worth individuals and multinational corporations located in La Défense and central Paris. This paper argues that the modern banker in France Paris operates at the intersection of tradition and innovation, requiring skills that extend far beyond quantitative analysis.</w:t>
      </w:r>
    </w:p>
    <w:bookmarkEnd w:id="20"/>
    <w:bookmarkStart w:id="21" w:name="Xd5741e89c93a962fa5e18558c0eade6ed71cb1b"/>
    <w:p>
      <w:pPr>
        <w:pStyle w:val="Heading2"/>
      </w:pPr>
      <w:r>
        <w:t xml:space="preserve">2. Historical Context: The Legacy of French Banking</w:t>
      </w:r>
    </w:p>
    <w:p>
      <w:pPr>
        <w:pStyle w:val="FirstParagraph"/>
      </w:pPr>
      <w:r>
        <w:t xml:space="preserve">To understand the current role of the banker in France Paris, one must acknowledge the historical weight carried by French financial institutions. The rise of large universal banks in the 19th century, such as Crédit Lyonnais and Société Générale, established a model where bankers acted not just as lenders but as long-term partners to industrial development. This "relationship banking" model persists today.</w:t>
      </w:r>
    </w:p>
    <w:p>
      <w:pPr>
        <w:pStyle w:val="BodyText"/>
      </w:pPr>
      <w:r>
        <w:t xml:space="preserve">In France Paris, this historical legacy influences client expectations. Unlike the transactional nature often seen in some Anglo-Saxon markets, clients in France often expect a deeper, more advisory relationship with their banker. This cultural expectation demands that the banker possesses strong interpersonal skills and a deep understanding of the client’s broader business ecosystem. The banker is expected to provide continuity and stability, reflecting the conservative yet sophisticated financial culture of Paris.</w:t>
      </w:r>
    </w:p>
    <w:bookmarkEnd w:id="21"/>
    <w:bookmarkStart w:id="22" w:name="regulatory-frameworks-and-compliance"/>
    <w:p>
      <w:pPr>
        <w:pStyle w:val="Heading2"/>
      </w:pPr>
      <w:r>
        <w:t xml:space="preserve">3. Regulatory Frameworks and Compliance</w:t>
      </w:r>
    </w:p>
    <w:p>
      <w:pPr>
        <w:pStyle w:val="FirstParagraph"/>
      </w:pPr>
      <w:r>
        <w:t xml:space="preserve">The post-2008 financial crisis era brought about unprecedented regulatory scrutiny globally, but in France Paris, this has been particularly rigorous due to the country's central role in European stability efforts. The banker is now heavily burdened with compliance responsibilities. Regulations such as MiFID II (Markets in Financial Instruments Directive) and GDPR (General Data Protection Regulation) dictate how bankers must interact with clients and handle data.</w:t>
      </w:r>
    </w:p>
    <w:p>
      <w:pPr>
        <w:pStyle w:val="BodyText"/>
      </w:pPr>
      <w:r>
        <w:t xml:space="preserve">For the banker operating in this environment, technical knowledge of these regulations is non-negotiable. However, the role extends beyond mere compliance. The banker must act as a gatekeeper for financial integrity, ensuring that transactions do not violate anti-money laundering (AML) laws or sanctions regimes imposed by both national and international bodies. In Paris, where cross-border capital flows are frequent due to its status as a global hub, the banker’s ability to navigate these complex regulatory waters is critical for maintaining the reputation of their institution and the stability of the French financial sector.</w:t>
      </w:r>
    </w:p>
    <w:bookmarkEnd w:id="22"/>
    <w:bookmarkStart w:id="23" w:name="X522fa4e0ddcae0413aa3ae3d8efdd2719be6718"/>
    <w:p>
      <w:pPr>
        <w:pStyle w:val="Heading2"/>
      </w:pPr>
      <w:r>
        <w:t xml:space="preserve">4. The Digital Transformation and Fintech Integration</w:t>
      </w:r>
    </w:p>
    <w:p>
      <w:pPr>
        <w:pStyle w:val="FirstParagraph"/>
      </w:pPr>
      <w:r>
        <w:t xml:space="preserve">The traditional image of the banker in France Paris is undergoing a radical transformation due to digitalization. The rise of fintech companies has forced incumbent banks to adapt rapidly. While legacy banks offer robust security and comprehensive services, they face competition from agile digital-only platforms that offer superior user experiences and lower fees.</w:t>
      </w:r>
    </w:p>
    <w:p>
      <w:pPr>
        <w:pStyle w:val="BodyText"/>
      </w:pPr>
      <w:r>
        <w:t xml:space="preserve">Consequently, the modern banker must be digitally literate. They are no longer just advisors in a physical branch; they are managers of hybrid service models. The banker leverages big data and artificial intelligence to provide personalized insights while maintaining the human touch that French clients value. This dual competency—technological proficiency combined with empathetic client management—is essential for retention in the competitive Parisian market. Furthermore, bankers are increasingly involved in advising clients on cybersecurity risks, a growing concern as financial operations move online.</w:t>
      </w:r>
    </w:p>
    <w:bookmarkEnd w:id="23"/>
    <w:bookmarkStart w:id="24" w:name="the-rise-of-sustainable-finance-and-esg"/>
    <w:p>
      <w:pPr>
        <w:pStyle w:val="Heading2"/>
      </w:pPr>
      <w:r>
        <w:t xml:space="preserve">5. The Rise of Sustainable Finance and ESG</w:t>
      </w:r>
    </w:p>
    <w:p>
      <w:pPr>
        <w:pStyle w:val="FirstParagraph"/>
      </w:pPr>
      <w:r>
        <w:t xml:space="preserve">A defining characteristic of contemporary banking in France Paris is the strong emphasis on Environmental, Social, and Governance (ESG) criteria. France has been at the forefront of sustainable finance regulation, notably through the Energy-Climate Law and its commitment to carbon neutrality. The banker’s role has thus expanded to include sustainability advisory.</w:t>
      </w:r>
    </w:p>
    <w:p>
      <w:pPr>
        <w:pStyle w:val="BodyText"/>
      </w:pPr>
      <w:r>
        <w:t xml:space="preserve">Banks in Paris are increasingly required to disclose the carbon footprint of their investment portfolios. The banker is tasked with guiding corporate clients toward green financing options, such as green bonds and sustainability-linked loans. This shift represents a fundamental change in the banker’s mandate: profitability is no longer the sole metric of success; environmental impact plays an equally significant role. In France Paris, where public opinion and political will strongly support ecological transition, the banker who fails to integrate ESG considerations risks reputational damage and loss of market share.</w:t>
      </w:r>
    </w:p>
    <w:bookmarkEnd w:id="24"/>
    <w:bookmarkStart w:id="25" w:name="X8fa6f38c6a034f0823f300a7a0e71929aea2ee7"/>
    <w:p>
      <w:pPr>
        <w:pStyle w:val="Heading2"/>
      </w:pPr>
      <w:r>
        <w:t xml:space="preserve">6. Strategic Advisory in a Geopolitical Uncertainty</w:t>
      </w:r>
    </w:p>
    <w:p>
      <w:pPr>
        <w:pStyle w:val="FirstParagraph"/>
      </w:pPr>
      <w:r>
        <w:t xml:space="preserve">In an era of geopolitical instability, ranging from conflicts in Eastern Europe to trade tensions globally, the role of the banker as a strategic advisor has become paramount. Clients in France Paris seek stability and hedging strategies against market volatility. The banker must provide sophisticated risk management solutions, including currency hedging and diversified investment portfolios.</w:t>
      </w:r>
    </w:p>
    <w:p>
      <w:pPr>
        <w:pStyle w:val="BodyText"/>
      </w:pPr>
      <w:r>
        <w:t xml:space="preserve">Moreover, with Paris serving as a gateway to European markets for non-European investors, the banker plays a crucial role in facilitating foreign direct investment. This requires a deep understanding of international tax laws and cross-border regulatory frameworks. The banker acts as a bridge, helping international clients navigate the complexities of doing business in France while ensuring that French institutions remain competitive on the global stage.</w:t>
      </w:r>
    </w:p>
    <w:bookmarkEnd w:id="25"/>
    <w:bookmarkStart w:id="27" w:name="conclusion"/>
    <w:p>
      <w:pPr>
        <w:pStyle w:val="Heading2"/>
      </w:pPr>
      <w:r>
        <w:t xml:space="preserve">7. Conclusion</w:t>
      </w:r>
    </w:p>
    <w:p>
      <w:pPr>
        <w:pStyle w:val="FirstParagraph"/>
      </w:pPr>
      <w:r>
        <w:t xml:space="preserve">The role of the banker in France Paris is dynamic, complex, and increasingly critical to both national economic health and international financial stability. It is no longer sufficient to be merely a custodian of assets or an originator of credit. The modern banker must be a multifaceted professional who combines deep regulatory knowledge, technological savvy, ethical commitment to sustainability, and strategic foresight.</w:t>
      </w:r>
    </w:p>
    <w:p>
      <w:pPr>
        <w:pStyle w:val="BodyText"/>
      </w:pPr>
      <w:r>
        <w:t xml:space="preserve">As we look toward the future, the challenges facing bankers in this region will only intensify. The convergence of digital disruption, regulatory tightening, and ecological imperatives demands continuous adaptation. However, by embracing these changes while leveraging the strengths of France’s historic banking culture, bankers in Paris can continue to drive innovation and maintain their position as leaders in European finance. This paper concludes that the future success of financial institutions in this hub depends on the ability of individual bankers to evolve from traditional intermediaries into comprehensive strategic partners.</w:t>
      </w:r>
    </w:p>
    <w:bookmarkStart w:id="26" w:name="references"/>
    <w:p>
      <w:pPr>
        <w:pStyle w:val="Heading3"/>
      </w:pPr>
      <w:r>
        <w:rPr>
          <w:bCs/>
          <w:b/>
        </w:rPr>
        <w:t xml:space="preserve">References</w:t>
      </w:r>
    </w:p>
    <w:p>
      <w:pPr>
        <w:numPr>
          <w:ilvl w:val="0"/>
          <w:numId w:val="1001"/>
        </w:numPr>
        <w:pStyle w:val="Compact"/>
      </w:pPr>
      <w:r>
        <w:t xml:space="preserve">Banque de France. (2022). *Annual Report on Financial Stability and Banking Sector Trends*. Paris: Banque de France Publishing.</w:t>
      </w:r>
    </w:p>
    <w:p>
      <w:pPr>
        <w:numPr>
          <w:ilvl w:val="0"/>
          <w:numId w:val="1001"/>
        </w:numPr>
        <w:pStyle w:val="Compact"/>
      </w:pPr>
      <w:r>
        <w:t xml:space="preserve">European Central Bank. (2021). *The Impact of MiFID II on Consumer Protection in the Eurozone*. Frankfurt: ECB Publications.</w:t>
      </w:r>
    </w:p>
    <w:p>
      <w:pPr>
        <w:numPr>
          <w:ilvl w:val="0"/>
          <w:numId w:val="1001"/>
        </w:numPr>
        <w:pStyle w:val="Compact"/>
      </w:pPr>
      <w:r>
        <w:t xml:space="preserve">Jean, M. &amp; Petit, L. (2019). "Relationship Banking vs. Transactional Banking: The French Model." *Journal of European Financial History*, 14(2), 45-67.</w:t>
      </w:r>
    </w:p>
    <w:p>
      <w:pPr>
        <w:numPr>
          <w:ilvl w:val="0"/>
          <w:numId w:val="1001"/>
        </w:numPr>
        <w:pStyle w:val="Compact"/>
      </w:pPr>
      <w:r>
        <w:t xml:space="preserve">Autorité de Contrôle Prudentiel et de Résolution (ACPR). (2023). *Guidelines on Digital Transformation in French Banking Institutions*. Paris: ACPR Official Publications.</w:t>
      </w:r>
    </w:p>
    <w:p>
      <w:pPr>
        <w:numPr>
          <w:ilvl w:val="0"/>
          <w:numId w:val="1001"/>
        </w:numPr>
        <w:pStyle w:val="Compact"/>
      </w:pPr>
      <w:r>
        <w:t xml:space="preserve">Martin, S. (2020). "Green Finance and the Role of the Banker in Sustainable Development." *International Review of Financial Analysis*, 58,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France Paris</dc:title>
  <dc:creator/>
  <dc:language>en</dc:language>
  <cp:keywords/>
  <dcterms:created xsi:type="dcterms:W3CDTF">2026-07-29T14:07:27Z</dcterms:created>
  <dcterms:modified xsi:type="dcterms:W3CDTF">2026-07-29T14:07:27Z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