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Germany</w:t>
      </w:r>
      <w:r>
        <w:t xml:space="preserve"> </w:t>
      </w:r>
      <w:r>
        <w:t xml:space="preserve">Frankfurt:</w:t>
      </w:r>
      <w:r>
        <w:t xml:space="preserve"> </w:t>
      </w:r>
      <w:r>
        <w:t xml:space="preserve">A</w:t>
      </w:r>
      <w:r>
        <w:t xml:space="preserve"> </w:t>
      </w:r>
      <w:r>
        <w:t xml:space="preserve">Conference</w:t>
      </w:r>
      <w:r>
        <w:t xml:space="preserve"> </w:t>
      </w:r>
      <w:r>
        <w:t xml:space="preserve">Paper</w:t>
      </w:r>
    </w:p>
    <w:bookmarkStart w:id="35" w:name="Xd7b51de1c1dcd15e45398d936235f78c3688f32"/>
    <w:p>
      <w:pPr>
        <w:pStyle w:val="Heading1"/>
      </w:pPr>
      <w:r>
        <w:t xml:space="preserve">The Modern Banker in Germany Frankfurt:</w:t>
      </w:r>
      <w:r>
        <w:br/>
      </w:r>
      <w:r>
        <w:t xml:space="preserve">Navigating Digital Transformation, Regulatory Complexity, and Sustainable Finance</w:t>
      </w:r>
    </w:p>
    <w:p>
      <w:pPr>
        <w:pStyle w:val="FirstParagraph"/>
      </w:pPr>
      <w:r>
        <w:rPr>
          <w:bCs/>
          <w:b/>
        </w:rPr>
        <w:t xml:space="preserve">Author:</w:t>
      </w:r>
      <w:r>
        <w:t xml:space="preserve"> </w:t>
      </w:r>
      <w:r>
        <w:t xml:space="preserve">Dr. Julian V. Stein</w:t>
      </w:r>
      <w:r>
        <w:br/>
      </w:r>
      <w:r>
        <w:rPr>
          <w:bCs/>
          <w:b/>
        </w:rPr>
        <w:t xml:space="preserve">Institution:</w:t>
      </w:r>
      <w:r>
        <w:t xml:space="preserve"> </w:t>
      </w:r>
      <w:r>
        <w:t xml:space="preserve">Institute for Financial Economics and European Banking Systems</w:t>
      </w:r>
      <w:r>
        <w:br/>
      </w:r>
      <w:r>
        <w:rPr>
          <w:bCs/>
          <w:b/>
        </w:rPr>
        <w:t xml:space="preserve">Date:</w:t>
      </w:r>
      <w:r>
        <w:t xml:space="preserve"> </w:t>
      </w:r>
      <w:r>
        <w:t xml:space="preserve">October 2023</w:t>
      </w:r>
    </w:p>
    <w:bookmarkStart w:id="20" w:name="Xd209905d21836149f458a1370e2b4827bc4c4a6"/>
    <w:p>
      <w:pPr>
        <w:pStyle w:val="Heading3"/>
      </w:pPr>
      <w:r>
        <w:rPr>
          <w:iCs/>
          <w:i/>
        </w:rPr>
        <w:t xml:space="preserve">Acknowledging the Role of Banker in Germany Frankfurt</w:t>
      </w:r>
    </w:p>
    <w:p>
      <w:pPr>
        <w:pStyle w:val="FirstParagraph"/>
      </w:pPr>
      <w:r>
        <w:rPr>
          <w:bCs/>
          <w:b/>
        </w:rPr>
        <w:t xml:space="preserve">Abstract:</w:t>
      </w:r>
      <w:r>
        <w:t xml:space="preserve"> </w:t>
      </w:r>
      <w:r>
        <w:t xml:space="preserve">This paper examines the profound transformation of the professional identity and operational scope of the modern banker within Germany Frankfurt, Europe’s primary financial hub. As global banking regulations tighten and technological disruption accelerates, traditional roles are being redefined. This study analyzes how bankers in Germany Frankfurt must adapt to meet stringent Basel III requirements while simultaneously embracing fintech innovations. Furthermore, it explores the critical shift towards Environmental, Social, and Governance (ESG) criteria that now dominate strategic decision-making. The findings suggest that the future banker is not merely a custodian of capital but a complex interdisciplinary advisor requiring expertise in data science, regulatory law, and ethical finance.</w:t>
      </w:r>
    </w:p>
    <w:bookmarkEnd w:id="20"/>
    <w:bookmarkStart w:id="21" w:name="introduction"/>
    <w:p>
      <w:pPr>
        <w:pStyle w:val="Heading2"/>
      </w:pPr>
      <w:r>
        <w:t xml:space="preserve">1. Introduction</w:t>
      </w:r>
    </w:p>
    <w:p>
      <w:pPr>
        <w:pStyle w:val="FirstParagraph"/>
      </w:pPr>
      <w:r>
        <w:t xml:space="preserve">The landscape of international finance has undergone seismic shifts over the last two decades. Nowhere is this transformation more visible than in Germany Frankfurt, a city that serves as the beating heart of European monetary policy and private banking. Home to the European Central Bank (ECB) and numerous global systemic institutions, Germany Frankfurt represents a unique intersection of tradition and modernity. For centuries, the figure of the</w:t>
      </w:r>
      <w:r>
        <w:t xml:space="preserve"> </w:t>
      </w:r>
      <w:r>
        <w:rPr>
          <w:bCs/>
          <w:b/>
        </w:rPr>
        <w:t xml:space="preserve">banker</w:t>
      </w:r>
      <w:r>
        <w:t xml:space="preserve"> </w:t>
      </w:r>
      <w:r>
        <w:t xml:space="preserve">has been synonymous with discretion, stability, and conservative asset management. However, in the contemporary era of digitalization and regulatory scrutiny, this archetype is undergoing a radical metamorphosis.</w:t>
      </w:r>
    </w:p>
    <w:p>
      <w:pPr>
        <w:pStyle w:val="BodyText"/>
      </w:pPr>
      <w:r>
        <w:t xml:space="preserve">This conference paper aims to dissect the evolving role of the banker specifically within the context of Germany Frankfurt. We argue that professionals operating in this jurisdiction face a tripartite challenge: mastering complex regulatory frameworks, integrating artificial intelligence into customer relationships, and leading sustainable finance initiatives. By focusing on Germany Frankfurt as a case study, we can illustrate broader trends affecting global banking professionals.</w:t>
      </w:r>
    </w:p>
    <w:bookmarkEnd w:id="21"/>
    <w:bookmarkStart w:id="24" w:name="X4ee2c56b9a0b60a828b8648307b58f7784b6f1e"/>
    <w:p>
      <w:pPr>
        <w:pStyle w:val="Heading2"/>
      </w:pPr>
      <w:r>
        <w:t xml:space="preserve">2. The Regulatory Landscape in Germany Frankfurt</w:t>
      </w:r>
    </w:p>
    <w:p>
      <w:pPr>
        <w:pStyle w:val="FirstParagraph"/>
      </w:pPr>
      <w:r>
        <w:t xml:space="preserve">To understand the modern banker in Germany Frankfurt, one must first appreciate the rigorous regulatory environment they inhabit. As the host of the ECB and a central node for Eurozone stability, bankers here operate under a microscope. The transition from national oversight to supranational supervision has necessitated a higher level of compliance expertise among all banking staff.</w:t>
      </w:r>
    </w:p>
    <w:bookmarkStart w:id="22" w:name="compliance-as-core-competency"/>
    <w:p>
      <w:pPr>
        <w:pStyle w:val="Heading3"/>
      </w:pPr>
      <w:r>
        <w:t xml:space="preserve">2.1 Compliance as Core Competency</w:t>
      </w:r>
    </w:p>
    <w:p>
      <w:pPr>
        <w:pStyle w:val="FirstParagraph"/>
      </w:pPr>
      <w:r>
        <w:t xml:space="preserve">Gone are the days when compliance was merely an administrative back-office function. In Germany Frankfurt, knowledge of Anti-Money Laundering (AML) directives, Know Your Customer (KYC) protocols, and the General Data Protection Regulation (GDPR) is now fundamental for relationship managers and executive officers alike. The paper posits that educational curricula for aspiring bankers must integrate legal studies with financial modeling. Failure to adhere to these standards does not just result in fines; it threatens the systemic integrity of Germany Frankfurt as a safe harbor for capital.</w:t>
      </w:r>
    </w:p>
    <w:bookmarkEnd w:id="22"/>
    <w:bookmarkStart w:id="23" w:name="basel-iii-and-capital-adequacy"/>
    <w:p>
      <w:pPr>
        <w:pStyle w:val="Heading3"/>
      </w:pPr>
      <w:r>
        <w:t xml:space="preserve">2.2 Basel III and Capital Adequacy</w:t>
      </w:r>
    </w:p>
    <w:p>
      <w:pPr>
        <w:pStyle w:val="FirstParagraph"/>
      </w:pPr>
      <w:r>
        <w:t xml:space="preserve">The implementation of Basel III regulations has forced bankers in Germany Frankfurt to rethink risk-weighted asset calculations. For the modern banker, this means moving beyond simple profit-and-loss analysis to a holistic view of liquidity coverage ratios and net stable funding ratios. The ability to communicate these complex metrics to stakeholders is becoming a key differentiator for successful financial institutions in the region.</w:t>
      </w:r>
    </w:p>
    <w:bookmarkEnd w:id="23"/>
    <w:bookmarkEnd w:id="24"/>
    <w:bookmarkStart w:id="27" w:name="Xbc1d47106519f80c3edd7c27af21b4cf818660a"/>
    <w:p>
      <w:pPr>
        <w:pStyle w:val="Heading2"/>
      </w:pPr>
      <w:r>
        <w:t xml:space="preserve">3. Digital Transformation and Fintech Integration</w:t>
      </w:r>
    </w:p>
    <w:p>
      <w:pPr>
        <w:pStyle w:val="FirstParagraph"/>
      </w:pPr>
      <w:r>
        <w:t xml:space="preserve">The second major pillar of change affecting the banker in Germany Frankfurt is digital transformation. While traditional German banks have historically been slow to adopt agile methodologies, the pressure from fintech startups and Big Tech entrants has accelerated this shift.</w:t>
      </w:r>
    </w:p>
    <w:bookmarkStart w:id="25" w:name="from-transactional-to-advisory"/>
    <w:p>
      <w:pPr>
        <w:pStyle w:val="Heading3"/>
      </w:pPr>
      <w:r>
        <w:t xml:space="preserve">3.1 From Transactional to Advisory</w:t>
      </w:r>
    </w:p>
    <w:p>
      <w:pPr>
        <w:pStyle w:val="FirstParagraph"/>
      </w:pPr>
      <w:r>
        <w:t xml:space="preserve">Routine transactions are increasingly automated through blockchain technology and algorithmic trading platforms. Consequently, the value proposition of the banker is shifting towards high-level advisory services. In Germany Frankfurt, where private banking for ultra-high-net-worth individuals is prevalent, clients expect personalized advice that machines cannot replicate. This requires bankers to develop soft skills such as empathy, strategic foresight, and complex problem-solving.</w:t>
      </w:r>
    </w:p>
    <w:bookmarkEnd w:id="25"/>
    <w:bookmarkStart w:id="26" w:name="data-analytics-in-decision-making"/>
    <w:p>
      <w:pPr>
        <w:pStyle w:val="Heading3"/>
      </w:pPr>
      <w:r>
        <w:t xml:space="preserve">3.2 Data Analytics in Decision Making</w:t>
      </w:r>
    </w:p>
    <w:p>
      <w:pPr>
        <w:pStyle w:val="FirstParagraph"/>
      </w:pPr>
      <w:r>
        <w:t xml:space="preserve">Data has become the new oil of the banking sector. Bankers in Germany Frankfurt are now expected to be data-literate professionals who can interpret customer behavior analytics to tailor financial products. The integration of artificial intelligence allows for predictive modeling, enabling bankers to anticipate client needs before they arise. However, this also raises ethical questions regarding algorithmic bias and transparency, requiring a new breed of banker who can navigate the technicalities of AI while maintaining ethical standards.</w:t>
      </w:r>
    </w:p>
    <w:bookmarkEnd w:id="26"/>
    <w:bookmarkEnd w:id="27"/>
    <w:bookmarkStart w:id="30" w:name="the-rise-of-sustainable-finance"/>
    <w:p>
      <w:pPr>
        <w:pStyle w:val="Heading2"/>
      </w:pPr>
      <w:r>
        <w:t xml:space="preserve">4. The Rise of Sustainable Finance</w:t>
      </w:r>
    </w:p>
    <w:p>
      <w:pPr>
        <w:pStyle w:val="FirstParagraph"/>
      </w:pPr>
      <w:r>
        <w:t xml:space="preserve">Sustainability is no longer a niche interest but a central tenet of modern banking strategy. In Germany Frankfurt, where there is a strong cultural and political emphasis on environmental protection, bankers are at the forefront of the green transition.</w:t>
      </w:r>
    </w:p>
    <w:bookmarkStart w:id="28" w:name="esg-integration"/>
    <w:p>
      <w:pPr>
        <w:pStyle w:val="Heading3"/>
      </w:pPr>
      <w:r>
        <w:t xml:space="preserve">4.1 ESG Integration</w:t>
      </w:r>
    </w:p>
    <w:p>
      <w:pPr>
        <w:pStyle w:val="FirstParagraph"/>
      </w:pPr>
      <w:r>
        <w:t xml:space="preserve">The role of the banker now includes assessing Environmental, Social, and Governance (ESG) risks. Clients in Germany Frankfurt are increasingly demanding sustainable investment options, from green bonds to carbon-neutral portfolio management. Bankers must be adept at evaluating the long-term viability of companies based on their environmental impact rather than just short-term financial returns.</w:t>
      </w:r>
    </w:p>
    <w:bookmarkEnd w:id="28"/>
    <w:bookmarkStart w:id="29" w:name="regulatory-drivers-for-green-finance"/>
    <w:p>
      <w:pPr>
        <w:pStyle w:val="Heading3"/>
      </w:pPr>
      <w:r>
        <w:t xml:space="preserve">4.2 Regulatory Drivers for Green Finance</w:t>
      </w:r>
    </w:p>
    <w:p>
      <w:pPr>
        <w:pStyle w:val="FirstParagraph"/>
      </w:pPr>
      <w:r>
        <w:t xml:space="preserve">The European Union’s Sustainable Finance Disclosure Regulation (SFDR) compels financial market participants to disclose how they integrate sustainability risks. For bankers in Germany Frankfurt, this means rigorous reporting standards and a commitment to transparency. The paper argues that the most successful institutions will be those that embed ESG principles into their core business models rather than treating them as peripheral add-ons.</w:t>
      </w:r>
    </w:p>
    <w:bookmarkEnd w:id="29"/>
    <w:bookmarkEnd w:id="30"/>
    <w:bookmarkStart w:id="32" w:name="interdisciplinary-education-and-training"/>
    <w:p>
      <w:pPr>
        <w:pStyle w:val="Heading2"/>
      </w:pPr>
      <w:r>
        <w:t xml:space="preserve">5. Interdisciplinary Education and Training</w:t>
      </w:r>
    </w:p>
    <w:p>
      <w:pPr>
        <w:pStyle w:val="FirstParagraph"/>
      </w:pPr>
      <w:r>
        <w:t xml:space="preserve">The convergence of these three forces—regulation, technology, and sustainability—demands a fundamental overhaul in how bankers are educated and trained. Traditional MBA programs are insufficient for the complexities of the modern financial world.</w:t>
      </w:r>
    </w:p>
    <w:bookmarkStart w:id="31" w:name="the-hybrid-professional"/>
    <w:p>
      <w:pPr>
        <w:pStyle w:val="Heading3"/>
      </w:pPr>
      <w:r>
        <w:t xml:space="preserve">5.1 The Hybrid Professional</w:t>
      </w:r>
    </w:p>
    <w:p>
      <w:pPr>
        <w:pStyle w:val="FirstParagraph"/>
      </w:pPr>
      <w:r>
        <w:t xml:space="preserve">We propose a new model for professional development in Germany Frankfurt that emphasizes interdisciplinary training. Bankers should possess a hybrid skill set: analytical rigor combined with technological fluency and ethical awareness. Continuous professional development (CPD) must be mandatory, focusing on emerging technologies like quantum computing in finance and the geopolitical implications of global capital flows.</w:t>
      </w:r>
    </w:p>
    <w:bookmarkEnd w:id="31"/>
    <w:bookmarkEnd w:id="32"/>
    <w:bookmarkStart w:id="33" w:name="conclusion"/>
    <w:p>
      <w:pPr>
        <w:pStyle w:val="Heading2"/>
      </w:pPr>
      <w:r>
        <w:t xml:space="preserve">6. Conclusion</w:t>
      </w:r>
    </w:p>
    <w:p>
      <w:pPr>
        <w:pStyle w:val="FirstParagraph"/>
      </w:pPr>
      <w:r>
        <w:t xml:space="preserve">In conclusion, the role of the banker in Germany Frankfurt is evolving from a traditional custodian of wealth to a multifaceted strategic advisor. This transformation is driven by an uncompromising regulatory environment, rapid digital innovation, and the urgent imperative of sustainable finance. As Europe’s financial capital, Germany Frankfurt sets the standard for how banking should be conducted in a modern democracy.</w:t>
      </w:r>
    </w:p>
    <w:p>
      <w:pPr>
        <w:pStyle w:val="BodyText"/>
      </w:pPr>
      <w:r>
        <w:t xml:space="preserve">The future banker must be resilient, adaptable, and ethically grounded. They must navigate the complex interplay between local German traditions of prudence and global pressures for agility and innovation. For stakeholders in the financial sector, understanding this evolution is crucial for maintaining competitiveness and trust. As we move forward, the success of banking institutions in Germany Frankfurt will depend on their ability to empower their bankers with the tools, knowledge, and ethical framework necessary to meet these challenges head-on.</w:t>
      </w:r>
    </w:p>
    <w:bookmarkEnd w:id="33"/>
    <w:bookmarkStart w:id="34" w:name="references"/>
    <w:p>
      <w:pPr>
        <w:pStyle w:val="Heading2"/>
      </w:pPr>
      <w:r>
        <w:t xml:space="preserve">7. References</w:t>
      </w:r>
    </w:p>
    <w:p>
      <w:pPr>
        <w:numPr>
          <w:ilvl w:val="0"/>
          <w:numId w:val="1001"/>
        </w:numPr>
        <w:pStyle w:val="Compact"/>
      </w:pPr>
      <w:r>
        <w:t xml:space="preserve">Basel Committee on Banking Supervision. (2017). Basel III: Finalising post-crisis reforms.</w:t>
      </w:r>
    </w:p>
    <w:p>
      <w:pPr>
        <w:numPr>
          <w:ilvl w:val="0"/>
          <w:numId w:val="1001"/>
        </w:numPr>
        <w:pStyle w:val="Compact"/>
      </w:pPr>
      <w:r>
        <w:t xml:space="preserve">European Central Bank. (2023). Annual Economic Report: Focus on Sustainable Finance.</w:t>
      </w:r>
    </w:p>
    <w:p>
      <w:pPr>
        <w:numPr>
          <w:ilvl w:val="0"/>
          <w:numId w:val="1001"/>
        </w:numPr>
        <w:pStyle w:val="Compact"/>
      </w:pPr>
      <w:r>
        <w:t xml:space="preserve">Gesetz zur Umsetzung der EU-Verordnungen im Bereich der nachhaltigen Finanzierung (SFDR Implementation Act).</w:t>
      </w:r>
    </w:p>
    <w:p>
      <w:pPr>
        <w:numPr>
          <w:ilvl w:val="0"/>
          <w:numId w:val="1001"/>
        </w:numPr>
        <w:pStyle w:val="Compact"/>
      </w:pPr>
      <w:r>
        <w:t xml:space="preserve">Kraft, P., &amp; Schmidt, H. (2021). Digital Disruption in European Banking. Journal of Financial Studies.</w:t>
      </w:r>
    </w:p>
    <w:p>
      <w:pPr>
        <w:numPr>
          <w:ilvl w:val="0"/>
          <w:numId w:val="1001"/>
        </w:numPr>
        <w:pStyle w:val="Compact"/>
      </w:pPr>
      <w:r>
        <w:t xml:space="preserve">Rauchhaus, R. (2019). The Changing Face of German Finance: From Tradition to Innovation.</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the Banker in Germany Frankfurt: A Conference Paper</dc:title>
  <dc:creator/>
  <dc:language>en</dc:language>
  <cp:keywords/>
  <dcterms:created xsi:type="dcterms:W3CDTF">2026-07-29T17:17:20Z</dcterms:created>
  <dcterms:modified xsi:type="dcterms:W3CDTF">2026-07-29T17:17:20Z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