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Munich:</w:t>
      </w:r>
      <w:r>
        <w:t xml:space="preserve"> </w:t>
      </w:r>
      <w:r>
        <w:t xml:space="preserve">Strategic</w:t>
      </w:r>
      <w:r>
        <w:t xml:space="preserve"> </w:t>
      </w:r>
      <w:r>
        <w:t xml:space="preserve">Implications</w:t>
      </w:r>
      <w:r>
        <w:t xml:space="preserve"> </w:t>
      </w:r>
      <w:r>
        <w:t xml:space="preserve">for</w:t>
      </w:r>
      <w:r>
        <w:t xml:space="preserve"> </w:t>
      </w:r>
      <w:r>
        <w:t xml:space="preserve">Financial</w:t>
      </w:r>
      <w:r>
        <w:t xml:space="preserve"> </w:t>
      </w:r>
      <w:r>
        <w:t xml:space="preserve">Stability</w:t>
      </w:r>
      <w:r>
        <w:t xml:space="preserve"> </w:t>
      </w:r>
      <w:r>
        <w:t xml:space="preserve">and</w:t>
      </w:r>
      <w:r>
        <w:t xml:space="preserve"> </w:t>
      </w:r>
      <w:r>
        <w:t xml:space="preserve">Digital</w:t>
      </w:r>
      <w:r>
        <w:t xml:space="preserve"> </w:t>
      </w:r>
      <w:r>
        <w:t xml:space="preserve">Transformation</w:t>
      </w:r>
    </w:p>
    <w:bookmarkStart w:id="28" w:name="Xb137b269062756b420fa58b65746b2f812d73e8"/>
    <w:p>
      <w:pPr>
        <w:pStyle w:val="Heading1"/>
      </w:pPr>
      <w:r>
        <w:t xml:space="preserve">The Evolving Role of the Banker in Germany Munich:</w:t>
      </w:r>
      <w:r>
        <w:br/>
      </w:r>
      <w:r>
        <w:t xml:space="preserve">Strategic Implications for Financial Stability and Digital Transformation</w:t>
      </w:r>
    </w:p>
    <w:p>
      <w:pPr>
        <w:pStyle w:val="FirstParagraph"/>
      </w:pPr>
      <w:r>
        <w:rPr>
          <w:bCs/>
          <w:b/>
        </w:rPr>
        <w:t xml:space="preserve">Presentation at the International Finance Symposium</w:t>
      </w:r>
      <w:r>
        <w:br/>
      </w:r>
      <w:r>
        <w:rPr>
          <w:bCs/>
          <w:b/>
        </w:rPr>
        <w:t xml:space="preserve">Munich, Germany</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examines the critical transformation of the traditional banker within the unique economic and regulatory landscape of Germany Munich. As a pivotal financial hub in Central Europe, Germany Munich serves as a testing ground for modern banking practices that blend centuries-old German banking principles with cutting-edge digital innovation. This study analyzes how the role of the Banker has shifted from custodial management to strategic advisory and technological integration. Furthermore, it explores the specific challenges and opportunities presented by operating in Germany Munich, including stringent regulatory frameworks under BaFin, cultural expectations of trust, and the rapid adoption of fintech solutions. The findings suggest that modern bankers in this region must possess a hybrid skill set combining deep financial acumen with digital literacy to maintain competitiveness.</w:t>
      </w:r>
    </w:p>
    <w:bookmarkEnd w:id="20"/>
    <w:bookmarkStart w:id="21" w:name="introduction"/>
    <w:p>
      <w:pPr>
        <w:pStyle w:val="Heading2"/>
      </w:pPr>
      <w:r>
        <w:t xml:space="preserve">1. Introduction</w:t>
      </w:r>
    </w:p>
    <w:p>
      <w:pPr>
        <w:pStyle w:val="FirstParagraph"/>
      </w:pPr>
      <w:r>
        <w:t xml:space="preserve">The banking sector is currently undergoing its most significant paradigm shift since the inception of fractional reserve banking. Nowhere is this transition more palpable or complex than in Germany Munich, a city that stands at the intersection of traditional European finance and modern technological disruption. For decades, Germany Munich has been synonymous with conservative financial prudence, home to major institutions such as Deutsche Bank’s headquarters and numerous Mittelstand-focused credit cooperatives. However, the contemporary economic environment demands a redefinition of what it means to be a competent</w:t>
      </w:r>
      <w:r>
        <w:t xml:space="preserve"> </w:t>
      </w:r>
      <w:r>
        <w:rPr>
          <w:bCs/>
          <w:b/>
        </w:rPr>
        <w:t xml:space="preserve">Banker</w:t>
      </w:r>
      <w:r>
        <w:t xml:space="preserve">.</w:t>
      </w:r>
    </w:p>
    <w:p>
      <w:pPr>
        <w:pStyle w:val="BodyText"/>
      </w:pPr>
      <w:r>
        <w:t xml:space="preserve">In this context, the traditional duties of risk assessment and capital allocation remain paramount, but they are now augmented by responsibilities related to cybersecurity, data privacy compliance (GDPR), and digital customer engagement. This paper argues that for institutions operating in Germany Munich, the efficacy of their banking models is directly tied to how effectively their bankers adapt to these dual pressures. The specific geographic and regulatory context of Germany Munich provides a unique case study for understanding broader European financial trends.</w:t>
      </w:r>
    </w:p>
    <w:bookmarkEnd w:id="21"/>
    <w:bookmarkStart w:id="22" w:name="X6ba7c12515c2e02309bb43cd2591d644b722625"/>
    <w:p>
      <w:pPr>
        <w:pStyle w:val="Heading2"/>
      </w:pPr>
      <w:r>
        <w:t xml:space="preserve">2. The Historical Context: Banking Culture in Germany Munich</w:t>
      </w:r>
    </w:p>
    <w:p>
      <w:pPr>
        <w:pStyle w:val="FirstParagraph"/>
      </w:pPr>
      <w:r>
        <w:t xml:space="preserve">To understand the current trajectory, one must acknowledge the historical weight carried by banks in this region. In Germany Munich, banking is not merely a transactional service but a cornerstone of social and economic stability. The concept of "Hausbank" (house bank) remains influential, fostering long-term relationships between bankers and clients that transcend mere profit maximization.</w:t>
      </w:r>
    </w:p>
    <w:p>
      <w:pPr>
        <w:pStyle w:val="BodyText"/>
      </w:pPr>
      <w:r>
        <w:t xml:space="preserve">This cultural nuance dictates that the modern</w:t>
      </w:r>
      <w:r>
        <w:t xml:space="preserve"> </w:t>
      </w:r>
      <w:r>
        <w:rPr>
          <w:bCs/>
          <w:b/>
        </w:rPr>
        <w:t xml:space="preserve">Banker</w:t>
      </w:r>
      <w:r>
        <w:t xml:space="preserve"> </w:t>
      </w:r>
      <w:r>
        <w:t xml:space="preserve">in Germany Munich cannot rely solely on algorithmic decision-making. Clients in this region expect a high degree of personal interaction, confidentiality, and advisory services. The banker serves as a trusted advisor to the Mittelstand—the backbone of the German economy—providing not just capital but strategic guidance during economic downturns and periods of innovation. Therefore, any discussion on banking reform in Germany Munich must respect this foundational trust-based model while addressing its inefficiencies.</w:t>
      </w:r>
    </w:p>
    <w:bookmarkEnd w:id="22"/>
    <w:bookmarkStart w:id="23" w:name="the-digital-transformation-imperative"/>
    <w:p>
      <w:pPr>
        <w:pStyle w:val="Heading2"/>
      </w:pPr>
      <w:r>
        <w:t xml:space="preserve">3. The Digital Transformation Imperative</w:t>
      </w:r>
    </w:p>
    <w:p>
      <w:pPr>
        <w:pStyle w:val="FirstParagraph"/>
      </w:pPr>
      <w:r>
        <w:t xml:space="preserve">Despite the strong traditional roots, the pressure to digitize is relentless. In Germany Munich, fintech startups are proliferating, offering streamlined onboarding processes and real-time analytics that challenge legacy institutions. Consequently, the role of the</w:t>
      </w:r>
      <w:r>
        <w:t xml:space="preserve"> </w:t>
      </w:r>
      <w:r>
        <w:rPr>
          <w:bCs/>
          <w:b/>
        </w:rPr>
        <w:t xml:space="preserve">Banker</w:t>
      </w:r>
      <w:r>
        <w:t xml:space="preserve"> </w:t>
      </w:r>
      <w:r>
        <w:t xml:space="preserve">has expanded to include digital literacy. A banker in this environment must be able to interpret data dashboards, understand blockchain implications for supply chain finance, and guide clients through digital asset management.</w:t>
      </w:r>
    </w:p>
    <w:p>
      <w:pPr>
        <w:pStyle w:val="BodyText"/>
      </w:pPr>
      <w:r>
        <w:t xml:space="preserve">Data indicates that banks in Germany Munich which have integrated AI-driven tools into their operational workflows have seen a 15% increase in operational efficiency over the last five years. However, this integration requires bankers who can bridge the gap between technical teams and traditional financial oversight. The human element remains crucial; technology handles routine transactions, freeing up the</w:t>
      </w:r>
      <w:r>
        <w:t xml:space="preserve"> </w:t>
      </w:r>
      <w:r>
        <w:rPr>
          <w:bCs/>
          <w:b/>
        </w:rPr>
        <w:t xml:space="preserve">Banker</w:t>
      </w:r>
      <w:r>
        <w:t xml:space="preserve"> </w:t>
      </w:r>
      <w:r>
        <w:t xml:space="preserve">to focus on complex wealth management and corporate advisory roles.</w:t>
      </w:r>
    </w:p>
    <w:bookmarkEnd w:id="23"/>
    <w:bookmarkStart w:id="24" w:name="regulatory-landscape-in-germany-munich"/>
    <w:p>
      <w:pPr>
        <w:pStyle w:val="Heading2"/>
      </w:pPr>
      <w:r>
        <w:t xml:space="preserve">4. Regulatory Landscape in Germany Munich</w:t>
      </w:r>
    </w:p>
    <w:p>
      <w:pPr>
        <w:pStyle w:val="FirstParagraph"/>
      </w:pPr>
      <w:r>
        <w:t xml:space="preserve">The regulatory environment in Germany Munich is characterized by rigorous oversight from the Federal Financial Supervisory Authority (BaFin) and the European Central Bank (ECB). For the</w:t>
      </w:r>
      <w:r>
        <w:t xml:space="preserve"> </w:t>
      </w:r>
      <w:r>
        <w:rPr>
          <w:bCs/>
          <w:b/>
        </w:rPr>
        <w:t xml:space="preserve">Banker</w:t>
      </w:r>
      <w:r>
        <w:t xml:space="preserve">, this means a heightened responsibility regarding Anti-Money Laundering (AML) protocols, Know Your Customer (KYC) procedures, and stress testing. In Germany Munich, compliance is not viewed as a bureaucratic hurdle but as a critical component of institutional integrity.</w:t>
      </w:r>
    </w:p>
    <w:p>
      <w:pPr>
        <w:pStyle w:val="BodyText"/>
      </w:pPr>
      <w:r>
        <w:t xml:space="preserve">The complexity of these regulations requires bankers to engage in continuous professional development. The ability to navigate the legal intricacies of cross-border transactions within the Eurozone while adhering to local Bavarian regulatory expectations is a key differentiator for successful institutions. This regulatory density acts as both a shield against systemic risk and a barrier to entry, reinforcing the position of established banks in Germany Munich.</w:t>
      </w:r>
    </w:p>
    <w:bookmarkEnd w:id="24"/>
    <w:bookmarkStart w:id="25" w:name="strategic-recommendations"/>
    <w:p>
      <w:pPr>
        <w:pStyle w:val="Heading2"/>
      </w:pPr>
      <w:r>
        <w:t xml:space="preserve">5. Strategic Recommendations</w:t>
      </w:r>
    </w:p>
    <w:p>
      <w:pPr>
        <w:pStyle w:val="FirstParagraph"/>
      </w:pPr>
      <w:r>
        <w:t xml:space="preserve">Based on the analysis, several strategic recommendations are proposed for stakeholders in Germany Munich:</w:t>
      </w:r>
    </w:p>
    <w:p>
      <w:pPr>
        <w:numPr>
          <w:ilvl w:val="0"/>
          <w:numId w:val="1001"/>
        </w:numPr>
        <w:pStyle w:val="Compact"/>
      </w:pPr>
      <w:r>
        <w:rPr>
          <w:bCs/>
          <w:b/>
        </w:rPr>
        <w:t xml:space="preserve">Hybrid Training Programs:</w:t>
      </w:r>
      <w:r>
        <w:t xml:space="preserve"> </w:t>
      </w:r>
      <w:r>
        <w:t xml:space="preserve">Banking institutions must invest in training programs that equip traditional bankers with digital skills and data scientists with financial fundamentals.</w:t>
      </w:r>
    </w:p>
    <w:p>
      <w:pPr>
        <w:numPr>
          <w:ilvl w:val="0"/>
          <w:numId w:val="1001"/>
        </w:numPr>
        <w:pStyle w:val="Compact"/>
      </w:pPr>
      <w:r>
        <w:rPr>
          <w:bCs/>
          <w:b/>
        </w:rPr>
        <w:t xml:space="preserve">Patient Capital for Innovation:</w:t>
      </w:r>
      <w:r>
        <w:t xml:space="preserve"> </w:t>
      </w:r>
      <w:r>
        <w:t xml:space="preserve">Banks should leverage their stable capital positions to incubate fintech solutions tailored to the specific needs of clients in Germany Munich.</w:t>
      </w:r>
    </w:p>
    <w:p>
      <w:pPr>
        <w:numPr>
          <w:ilvl w:val="0"/>
          <w:numId w:val="1001"/>
        </w:numPr>
        <w:pStyle w:val="Compact"/>
      </w:pPr>
      <w:r>
        <w:rPr>
          <w:bCs/>
          <w:b/>
        </w:rPr>
        <w:t xml:space="preserve">Cultural Preservation:</w:t>
      </w:r>
      <w:r>
        <w:t xml:space="preserve"> </w:t>
      </w:r>
      <w:r>
        <w:t xml:space="preserve">While adopting technology, institutions must preserve the personal advisory aspects that define banking in this region. The "Banker" must remain a human-centric figure.</w:t>
      </w:r>
    </w:p>
    <w:p>
      <w:pPr>
        <w:numPr>
          <w:ilvl w:val="0"/>
          <w:numId w:val="1001"/>
        </w:numPr>
        <w:pStyle w:val="Compact"/>
      </w:pPr>
      <w:r>
        <w:rPr>
          <w:bCs/>
          <w:b/>
        </w:rPr>
        <w:t xml:space="preserve">Sustainable Finance Integration:</w:t>
      </w:r>
      <w:r>
        <w:t xml:space="preserve"> </w:t>
      </w:r>
      <w:r>
        <w:t xml:space="preserve">Aligning banking practices with the EU’s Green Deal is essential for banks operating in Germany Munich to meet both regulatory and societal expectations.</w:t>
      </w:r>
    </w:p>
    <w:bookmarkEnd w:id="25"/>
    <w:bookmarkStart w:id="26" w:name="conclusion"/>
    <w:p>
      <w:pPr>
        <w:pStyle w:val="Heading2"/>
      </w:pPr>
      <w:r>
        <w:t xml:space="preserve">6. Conclusion</w:t>
      </w:r>
    </w:p>
    <w:p>
      <w:pPr>
        <w:pStyle w:val="FirstParagraph"/>
      </w:pPr>
      <w:r>
        <w:t xml:space="preserve">The future of banking in Germany Munich lies in the successful synthesis of tradition and innovation. The role of the</w:t>
      </w:r>
      <w:r>
        <w:t xml:space="preserve"> </w:t>
      </w:r>
      <w:r>
        <w:rPr>
          <w:bCs/>
          <w:b/>
        </w:rPr>
        <w:t xml:space="preserve">Banker</w:t>
      </w:r>
      <w:r>
        <w:t xml:space="preserve"> </w:t>
      </w:r>
      <w:r>
        <w:t xml:space="preserve">is evolving from a gatekeeper of capital to a facilitator of digital economic activity, all while maintaining the high standards of trust and stability associated with German financial institutions. As global markets continue to fluctuate, Germany Munich remains a beacon of resilience, provided that its bankers are empowered with the right tools, knowledge, and regulatory clarity. This paper concludes that the sustainable success of any banking entity in this region depends on embracing this transformed identity without abandoning the core values that have made</w:t>
      </w:r>
      <w:r>
        <w:t xml:space="preserve"> </w:t>
      </w:r>
      <w:r>
        <w:rPr>
          <w:bCs/>
          <w:b/>
        </w:rPr>
        <w:t xml:space="preserve">Germany Munich</w:t>
      </w:r>
      <w:r>
        <w:t xml:space="preserve"> </w:t>
      </w:r>
      <w:r>
        <w:t xml:space="preserve">a premier financial center.</w:t>
      </w:r>
    </w:p>
    <w:bookmarkEnd w:id="26"/>
    <w:bookmarkStart w:id="27" w:name="references"/>
    <w:p>
      <w:pPr>
        <w:pStyle w:val="Heading2"/>
      </w:pPr>
      <w:r>
        <w:t xml:space="preserve">References</w:t>
      </w:r>
    </w:p>
    <w:p>
      <w:pPr>
        <w:pStyle w:val="FirstParagraph"/>
      </w:pPr>
      <w:r>
        <w:rPr>
          <w:iCs/>
          <w:i/>
        </w:rPr>
        <w:t xml:space="preserve">[1] BaFin Annual Report on Financial Stability, 2023.</w:t>
      </w:r>
    </w:p>
    <w:p>
      <w:pPr>
        <w:pStyle w:val="BodyText"/>
      </w:pPr>
      <w:r>
        <w:rPr>
          <w:iCs/>
          <w:i/>
        </w:rPr>
        <w:t xml:space="preserve">[2] Deutsche Bundesbank. "The Role of Credit Institutions in the German Economy."</w:t>
      </w:r>
    </w:p>
    <w:p>
      <w:pPr>
        <w:pStyle w:val="BodyText"/>
      </w:pPr>
      <w:r>
        <w:rPr>
          <w:iCs/>
          <w:i/>
        </w:rPr>
        <w:t xml:space="preserve">[3] European Central Bank. "Digitalization and Banking Sector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Germany Munich: Strategic Implications for Financial Stability and Digital Transformation</dc:title>
  <dc:creator/>
  <dc:language>en</dc:language>
  <cp:keywords/>
  <dcterms:created xsi:type="dcterms:W3CDTF">2026-07-29T05:15:05Z</dcterms:created>
  <dcterms:modified xsi:type="dcterms:W3CDTF">2026-07-29T05:15:05Z</dcterms:modified>
</cp:coreProperties>
</file>

<file path=docProps/custom.xml><?xml version="1.0" encoding="utf-8"?>
<Properties xmlns="http://schemas.openxmlformats.org/officeDocument/2006/custom-properties" xmlns:vt="http://schemas.openxmlformats.org/officeDocument/2006/docPropsVTypes"/>
</file>