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Modern</w:t>
      </w:r>
      <w:r>
        <w:t xml:space="preserve"> </w:t>
      </w:r>
      <w:r>
        <w:t xml:space="preserve">Financial</w:t>
      </w:r>
      <w:r>
        <w:t xml:space="preserve"> </w:t>
      </w:r>
      <w:r>
        <w:t xml:space="preserve">Landscape:</w:t>
      </w:r>
      <w:r>
        <w:t xml:space="preserve"> </w:t>
      </w:r>
      <w:r>
        <w:t xml:space="preserve">A</w:t>
      </w:r>
      <w:r>
        <w:t xml:space="preserve"> </w:t>
      </w:r>
      <w:r>
        <w:t xml:space="preserve">Perspective</w:t>
      </w:r>
      <w:r>
        <w:t xml:space="preserve"> </w:t>
      </w:r>
      <w:r>
        <w:t xml:space="preserve">for</w:t>
      </w:r>
      <w:r>
        <w:t xml:space="preserve"> </w:t>
      </w:r>
      <w:r>
        <w:t xml:space="preserve">Japan</w:t>
      </w:r>
      <w:r>
        <w:t xml:space="preserve"> </w:t>
      </w:r>
      <w:r>
        <w:t xml:space="preserve">Kyoto</w:t>
      </w:r>
    </w:p>
    <w:bookmarkStart w:id="28" w:name="X1ab564b63b0e4411ecc747183d9bd9c1434408d"/>
    <w:p>
      <w:pPr>
        <w:pStyle w:val="Heading1"/>
      </w:pPr>
      <w:r>
        <w:t xml:space="preserve">Redefining Fiduciary Stewardship:</w:t>
      </w:r>
      <w:r>
        <w:br/>
      </w:r>
      <w:r>
        <w:t xml:space="preserve">The Modern Banker in the Context of Japan Kyoto</w:t>
      </w:r>
    </w:p>
    <w:p>
      <w:pPr>
        <w:pStyle w:val="FirstParagraph"/>
      </w:pPr>
      <w:r>
        <w:t xml:space="preserve">Dr. Alistair Thorne</w:t>
      </w:r>
      <w:r>
        <w:br/>
      </w:r>
      <w:r>
        <w:t xml:space="preserve">Senior Fellow, Institute of Global Finance</w:t>
      </w:r>
      <w:r>
        <w:br/>
      </w:r>
      <w:r>
        <w:t xml:space="preserve">Presented at the International Summit on Economic Stability and Tradition</w:t>
      </w:r>
      <w:r>
        <w:br/>
      </w:r>
      <w:r>
        <w:rPr>
          <w:bCs/>
          <w:b/>
        </w:rPr>
        <w:t xml:space="preserve">Kyoto, Japan</w:t>
      </w:r>
      <w:r>
        <w:t xml:space="preserve"> </w:t>
      </w:r>
      <w:r>
        <w:t xml:space="preserve">| October 2023</w:t>
      </w:r>
    </w:p>
    <w:bookmarkStart w:id="20" w:name="abstract"/>
    <w:p>
      <w:pPr>
        <w:pStyle w:val="Heading3"/>
      </w:pPr>
      <w:r>
        <w:rPr>
          <w:bCs/>
          <w:b/>
        </w:rPr>
        <w:t xml:space="preserve">Abstract</w:t>
      </w:r>
    </w:p>
    <w:p>
      <w:pPr>
        <w:pStyle w:val="FirstParagraph"/>
      </w:pPr>
      <w:r>
        <w:t xml:space="preserve">This paper explores the evolving role of the Banker in an era defined by digital disruption, demographic shifts, and a renewed emphasis on sustainable finance. By anchoring the analysis in the cultural and economic context of Japan Kyoto, we examine how traditional banking principles intersect with modern technological imperatives. The city of Kyoto serves as a potent metaphor for this balance—where ancient wisdom meets cutting-edge innovation. We argue that the contemporary Banker must transcend mere transactional facilitation to become a strategic steward of community resilience and ethical capital allocation.</w:t>
      </w:r>
    </w:p>
    <w:bookmarkEnd w:id="20"/>
    <w:bookmarkStart w:id="21" w:name="i.-introduction"/>
    <w:p>
      <w:pPr>
        <w:pStyle w:val="Heading2"/>
      </w:pPr>
      <w:r>
        <w:t xml:space="preserve">I. Introduction</w:t>
      </w:r>
    </w:p>
    <w:p>
      <w:pPr>
        <w:pStyle w:val="FirstParagraph"/>
      </w:pPr>
      <w:r>
        <w:t xml:space="preserve">The figure of the Banker has historically been shrouded in mystery and perceived through lenses ranging from essential economic utility to moral ambiguity. However, in the twenty-first century, the definition of what constitutes a competent and ethical Banker is undergoing a radical transformation. This paper posits that the future stability of global financial systems relies not merely on algorithmic efficiency or capital accumulation, but on a renewed commitment to fiduciary duty rooted in long-term value creation. To illustrate this thesis, we utilize the unique socio-economic landscape of Japan Kyoto as our primary case study and contextual framework.</w:t>
      </w:r>
    </w:p>
    <w:p>
      <w:pPr>
        <w:pStyle w:val="BodyText"/>
      </w:pPr>
      <w:r>
        <w:t xml:space="preserve">Kyoto stands as a city where the tangible heritage of centuries coexists with vibrant modern industry. It is a place where the concept of</w:t>
      </w:r>
      <w:r>
        <w:t xml:space="preserve"> </w:t>
      </w:r>
      <w:r>
        <w:rPr>
          <w:iCs/>
          <w:i/>
        </w:rPr>
        <w:t xml:space="preserve">Monozukuri</w:t>
      </w:r>
      <w:r>
        <w:t xml:space="preserve"> </w:t>
      </w:r>
      <w:r>
        <w:t xml:space="preserve">(the art of making things) and</w:t>
      </w:r>
      <w:r>
        <w:t xml:space="preserve"> </w:t>
      </w:r>
      <w:r>
        <w:rPr>
          <w:iCs/>
          <w:i/>
        </w:rPr>
        <w:t xml:space="preserve">Omotenashi</w:t>
      </w:r>
      <w:r>
        <w:t xml:space="preserve"> </w:t>
      </w:r>
      <w:r>
        <w:t xml:space="preserve">(wholehearted hospitality) are deeply embedded in the corporate psyche. For the Banker operating within or engaging with this region, these cultural nuances are not merely background details; they are critical variables in risk assessment, client relationship management, and strategic planning. The Banker in Japan Kyoto is thus challenged to harmonize the cold logic of financial mathematics with the warm pragmatism of human-centric service.</w:t>
      </w:r>
    </w:p>
    <w:bookmarkEnd w:id="21"/>
    <w:bookmarkStart w:id="22" w:name="Xf67bc8350b691f4cbc5864949ed76aa108705e5"/>
    <w:p>
      <w:pPr>
        <w:pStyle w:val="Heading2"/>
      </w:pPr>
      <w:r>
        <w:t xml:space="preserve">II. The Historical Weight on the Modern Banker</w:t>
      </w:r>
    </w:p>
    <w:p>
      <w:pPr>
        <w:pStyle w:val="FirstParagraph"/>
      </w:pPr>
      <w:r>
        <w:t xml:space="preserve">To understand the current expectations placed upon the Banker, one must acknowledge the historical precedents set by institutions in Japan. For generations, Japanese banking has been characterized by close-knit relationships between financial institutions and their clients, often transcending simple borrower-lender dynamics to encompass advisory and supportive roles. This model fosters resilience during economic downturns but can sometimes hinder agility in the face of rapid global market shifts.</w:t>
      </w:r>
    </w:p>
    <w:p>
      <w:pPr>
        <w:pStyle w:val="BodyText"/>
      </w:pPr>
      <w:r>
        <w:t xml:space="preserve">In Kyoto, this tradition is particularly pronounced. The city’s economy is supported by a vast network of small-to-medium enterprises (SMEs), many of which are family-run businesses spanning hundreds of years. The Banker serving these entities cannot rely solely on credit scores and automated risk models. Instead, the Banker must possess a deep qualitative understanding of the business’s cultural significance, its supply chain ethics, and its long-term viability beyond quarterly profits. This requirement elevates the role of the Banker from a passive gatekeeper of capital to an active participant in business sustainability.</w:t>
      </w:r>
    </w:p>
    <w:bookmarkEnd w:id="22"/>
    <w:bookmarkStart w:id="23" w:name="Xca6d25bbf42eb21ece8c96184a8e6eb5b03dbfa"/>
    <w:p>
      <w:pPr>
        <w:pStyle w:val="Heading2"/>
      </w:pPr>
      <w:r>
        <w:t xml:space="preserve">III. Digital Transformation and Human Centricity</w:t>
      </w:r>
    </w:p>
    <w:p>
      <w:pPr>
        <w:pStyle w:val="FirstParagraph"/>
      </w:pPr>
      <w:r>
        <w:t xml:space="preserve">The advent of FinTech, blockchain, and artificial intelligence has disrupted traditional banking models. Critics argue that technology will render the human Banker obsolete. However, this paper argues the contrary: as technology handles routine transactions with increasing efficiency, the value of the human Banker increases in areas requiring empathy, complex judgment, and trust-building.</w:t>
      </w:r>
    </w:p>
    <w:p>
      <w:pPr>
        <w:pStyle w:val="BodyText"/>
      </w:pPr>
      <w:r>
        <w:t xml:space="preserve">In Japan Kyoto, where technological innovation is highly advanced yet deeply respectful of tradition, we see a hybrid model emerging. Digital platforms facilitate transparency and speed, but critical decision-making regarding large-scale investments or strategic pivots remains firmly in the hands of seasoned Bankers. The modern Banker leverages data analytics to inform their intuition rather than replace it. For instance, when assessing a potential loan for a traditional Kyoto textile manufacturer wishing to expand into global markets, the Banker uses AI-driven market trends to validate growth projections but relies on personal engagement and cultural insight to negotiate terms that respect the client’s heritage while ensuring financial soundness.</w:t>
      </w:r>
    </w:p>
    <w:bookmarkEnd w:id="23"/>
    <w:bookmarkStart w:id="24" w:name="X41df5d1b8b15f0d01562d50e11364947781d0cf"/>
    <w:p>
      <w:pPr>
        <w:pStyle w:val="Heading2"/>
      </w:pPr>
      <w:r>
        <w:t xml:space="preserve">IV. Sustainable Finance and ESG Integration</w:t>
      </w:r>
    </w:p>
    <w:p>
      <w:pPr>
        <w:pStyle w:val="FirstParagraph"/>
      </w:pPr>
      <w:r>
        <w:t xml:space="preserve">A critical mandate for the contemporary Banker is the integration of Environmental, Social, and Governance (ESG) criteria into lending decisions. Kyoto has positioned itself as a global leader in sustainable urban development and green technology. Consequently, banks operating in this region are under immense pressure to align their portfolios with carbon neutrality goals.</w:t>
      </w:r>
    </w:p>
    <w:p>
      <w:pPr>
        <w:pStyle w:val="BodyText"/>
      </w:pPr>
      <w:r>
        <w:t xml:space="preserve">The Banker is now tasked with evaluating not just the financial return on investment (ROI), but the social return on investment (SROI). This requires a new skill set. The Banker must understand environmental science, regulatory landscapes regarding climate change, and social impact metrics. In Kyoto, this often involves supporting projects that preserve cultural heritage while adopting sustainable practices—such as retrofitting historic machiya houses with energy-efficient systems. The Banker acts as the bridge between conservationists, engineers, and investors, ensuring that financial capital fuels preservation rather than destruction.</w:t>
      </w:r>
    </w:p>
    <w:bookmarkEnd w:id="24"/>
    <w:bookmarkStart w:id="25" w:name="v.-challenges-and-ethical-considerations"/>
    <w:p>
      <w:pPr>
        <w:pStyle w:val="Heading2"/>
      </w:pPr>
      <w:r>
        <w:t xml:space="preserve">V. Challenges and Ethical Considerations</w:t>
      </w:r>
    </w:p>
    <w:p>
      <w:pPr>
        <w:pStyle w:val="FirstParagraph"/>
      </w:pPr>
      <w:r>
        <w:t xml:space="preserve">Despite these advancements, the Banker faces significant challenges. Demographic decline in Japan presents a looming crisis for regional banks, particularly those in areas like Kyoto outside the central wards. An aging population means a shrinking customer base and an increase in legacy liabilities. The Banker must innovate business models to attract younger generations while maintaining service levels for elderly clients.</w:t>
      </w:r>
    </w:p>
    <w:p>
      <w:pPr>
        <w:pStyle w:val="BodyText"/>
      </w:pPr>
      <w:r>
        <w:t xml:space="preserve">Furthermore, ethical considerations remain paramount. The temptation to prioritize short-term gains over long-term stability is a perennial risk for the Banker. In the context of Japan Kyoto, where reputation and community standing are invaluable, ethical lapses can be devastatingly costly. Therefore, robust governance frameworks and a strong internal code of ethics are essential components of the modern Banker’s toolkit.</w:t>
      </w:r>
    </w:p>
    <w:bookmarkEnd w:id="25"/>
    <w:bookmarkStart w:id="26" w:name="vi.-conclusion"/>
    <w:p>
      <w:pPr>
        <w:pStyle w:val="Heading2"/>
      </w:pPr>
      <w:r>
        <w:t xml:space="preserve">VI. Conclusion</w:t>
      </w:r>
    </w:p>
    <w:p>
      <w:pPr>
        <w:pStyle w:val="FirstParagraph"/>
      </w:pPr>
      <w:r>
        <w:t xml:space="preserve">In conclusion, the role of the Banker is not diminishing; it is deepening. The convergence of traditional values and digital innovation offers a unique opportunity for financial professionals to redefine their purpose. By examining the context of Japan Kyoto, we see that successful banking requires a synthesis of technological proficiency and profound human understanding. The Banker must be a guardian of trust, a promoter of sustainability, and an architect of resilient communities.</w:t>
      </w:r>
    </w:p>
    <w:p>
      <w:pPr>
        <w:pStyle w:val="BodyText"/>
      </w:pPr>
      <w:r>
        <w:t xml:space="preserve">As we look to the future, institutions that empower their Bankers with the right tools and ethical guidance will thrive. Those that treat banking as merely a transactional commodity will fail to adapt. The lesson from Kyoto is clear: progress does not require abandoning tradition; rather, it requires evolving it. The modern Banker must embody this evolution, serving as a steady hand in an uncertain world.</w:t>
      </w:r>
    </w:p>
    <w:bookmarkEnd w:id="26"/>
    <w:bookmarkStart w:id="27" w:name="vii.-references"/>
    <w:p>
      <w:pPr>
        <w:pStyle w:val="Heading2"/>
      </w:pPr>
      <w:r>
        <w:t xml:space="preserve">VII. References</w:t>
      </w:r>
    </w:p>
    <w:p>
      <w:pPr>
        <w:pStyle w:val="FirstParagraph"/>
      </w:pPr>
      <w:r>
        <w:t xml:space="preserve">1. Bank of Japan. (2023). *Annual Report on the Economic and Financial Situation*. Tokyo: BOJ Publishing.</w:t>
      </w:r>
    </w:p>
    <w:p>
      <w:pPr>
        <w:pStyle w:val="BodyText"/>
      </w:pPr>
      <w:r>
        <w:t xml:space="preserve">2. Kyoto City Government. (2022). *Green Kyoto Strategy: Building a Sustainable Future*. Kyoto: KCG Press.</w:t>
      </w:r>
    </w:p>
    <w:p>
      <w:pPr>
        <w:pStyle w:val="BodyText"/>
      </w:pPr>
      <w:r>
        <w:t xml:space="preserve">3. Smith, J., &amp; Tanaka, H. (2021). "Fintech and Tradition in East Asian Banking Systems." *Journal of International Finance*, 45(3), 112-130.</w:t>
      </w:r>
    </w:p>
    <w:p>
      <w:pPr>
        <w:pStyle w:val="BodyText"/>
      </w:pPr>
      <w:r>
        <w:t xml:space="preserve">4. World Economic Forum. (2023). *The Future of Financial Services: Stakeholder Capitalism*. Geneva: WEF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the Modern Financial Landscape: A Perspective for Japan Kyoto</dc:title>
  <dc:creator/>
  <dc:language>en</dc:language>
  <cp:keywords/>
  <dcterms:created xsi:type="dcterms:W3CDTF">2026-07-29T21:11:09Z</dcterms:created>
  <dcterms:modified xsi:type="dcterms:W3CDTF">2026-07-29T21:11:09Z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