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Strategic</w:t>
      </w:r>
      <w:r>
        <w:t xml:space="preserve"> </w:t>
      </w:r>
      <w:r>
        <w:t xml:space="preserve">Adaptations</w:t>
      </w:r>
      <w:r>
        <w:t xml:space="preserve"> </w:t>
      </w:r>
      <w:r>
        <w:t xml:space="preserve">for</w:t>
      </w:r>
      <w:r>
        <w:t xml:space="preserve"> </w:t>
      </w:r>
      <w:r>
        <w:t xml:space="preserve">a</w:t>
      </w:r>
      <w:r>
        <w:t xml:space="preserve"> </w:t>
      </w:r>
      <w:r>
        <w:t xml:space="preserve">Digital</w:t>
      </w:r>
      <w:r>
        <w:t xml:space="preserve"> </w:t>
      </w:r>
      <w:r>
        <w:t xml:space="preserve">Future</w:t>
      </w:r>
    </w:p>
    <w:bookmarkStart w:id="28" w:name="X052c6afefc83c4d4de84cb47d1fe9a7b31a4a78"/>
    <w:p>
      <w:pPr>
        <w:pStyle w:val="Heading1"/>
      </w:pPr>
      <w:r>
        <w:t xml:space="preserve">The Evolving Role of the Banker in Malaysia Kuala Lumpur:</w:t>
      </w:r>
      <w:r>
        <w:br/>
      </w:r>
      <w:r>
        <w:t xml:space="preserve">Strategic Adaptations for a Digital Future</w:t>
      </w:r>
    </w:p>
    <w:p>
      <w:pPr>
        <w:pStyle w:val="FirstParagraph"/>
      </w:pPr>
      <w:r>
        <w:rPr>
          <w:iCs/>
          <w:i/>
          <w:bCs/>
          <w:b/>
        </w:rPr>
        <w:t xml:space="preserve">Alexander J. Wong</w:t>
      </w:r>
      <w:r>
        <w:br/>
      </w:r>
      <w:r>
        <w:t xml:space="preserve">Senior Research Fellow, Institute of Financial Studies</w:t>
      </w:r>
      <w:r>
        <w:br/>
      </w:r>
      <w:r>
        <w:t xml:space="preserve">Kuala Lumpur, Malaysia</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examines the transformative impact of digitalization, regulatory evolution, and socio-economic shifts on the traditional role of the banker in Malaysia Kuala Lumpur. As a major financial hub in Southeast Asia, Malaysia Kuala Lumpur serves as a critical testing ground for fintech integration and sustainable banking practices. The study argues that the modern banker must transition from a transactional intermediary to a holistic financial advisor capable of navigating complex regulatory landscapes while leveraging artificial intelligence and big data analytics. Through an analysis of recent trends in Malaysian banking, this paper highlights the necessity for upskilling, ethical governance, and customer-centric innovation to maintain competitiveness in a rapidly globalizing economy.</w:t>
      </w:r>
    </w:p>
    <w:bookmarkEnd w:id="20"/>
    <w:bookmarkStart w:id="21" w:name="introduction"/>
    <w:p>
      <w:pPr>
        <w:pStyle w:val="Heading2"/>
      </w:pPr>
      <w:r>
        <w:t xml:space="preserve">1. Introduction</w:t>
      </w:r>
    </w:p>
    <w:p>
      <w:pPr>
        <w:pStyle w:val="FirstParagraph"/>
      </w:pPr>
      <w:r>
        <w:t xml:space="preserve">The financial sector stands at the precipice of a significant paradigm shift. Nowhere is this more evident than in Malaysia Kuala Lumpur, the economic heart of Malaysia and a burgeoning center for Islamic finance and digital banking in Southeast Asia. Historically, the banker was viewed primarily as a custodian of capital and an approver of credit. However, the contemporary landscape demands a multifaceted professional who possesses technical acumen, regulatory expertise, and deep empathetic understanding.</w:t>
      </w:r>
    </w:p>
    <w:p>
      <w:pPr>
        <w:pStyle w:val="BodyText"/>
      </w:pPr>
      <w:r>
        <w:t xml:space="preserve">In Malaysia Kuala Lumpur, the convergence of robust government initiatives—such as the Financial Sector Blueprint 2022—and aggressive private sector innovation has accelerated this transformation. This paper aims to dissect these changes, focusing on how the identity of the banker is being redefined. We explore three core dimensions: technological displacement and augmentation, regulatory compliance in a cross-border context, and the imperative of sustainable finance.</w:t>
      </w:r>
    </w:p>
    <w:bookmarkEnd w:id="21"/>
    <w:bookmarkStart w:id="22" w:name="X3be7cf887352e70600dc24b8be167f4ec1331dc"/>
    <w:p>
      <w:pPr>
        <w:pStyle w:val="Heading2"/>
      </w:pPr>
      <w:r>
        <w:t xml:space="preserve">2. Technological Augmentation: From Human Interface to Hybrid Intelligence</w:t>
      </w:r>
    </w:p>
    <w:p>
      <w:pPr>
        <w:pStyle w:val="FirstParagraph"/>
      </w:pPr>
      <w:r>
        <w:t xml:space="preserve">The most immediate challenge facing the banker in Malaysia Kuala Lumpur is the rapid adoption of financial technology (fintech). Automated underwriting algorithms, blockchain-based settlement systems, and chatbot-driven customer service have drastically reduced the need for manual processing. For the modern banker, this does not signify obsolescence but rather a shift toward "hybrid intelligence."</w:t>
      </w:r>
    </w:p>
    <w:p>
      <w:pPr>
        <w:pStyle w:val="BodyText"/>
      </w:pPr>
      <w:r>
        <w:t xml:space="preserve">In Malaysia Kuala Lumpur's competitive market, banks are no longer competing solely against other banks but also against non-bank financial entities and tech giants. Consequently, the banker must become proficient in data literacy. The ability to interpret algorithmic outputs allows the banker to provide nuanced advice that pure automation cannot offer. For instance, while an AI can assess credit risk based on historical data, it may lack the contextual understanding of a small business owner’s potential during unforeseen market disruptions. Therefore, the banker in Malaysia Kuala Lumpur must leverage technology to enhance personal interaction rather than replace it entirely.</w:t>
      </w:r>
    </w:p>
    <w:p>
      <w:pPr>
        <w:pStyle w:val="BodyText"/>
      </w:pPr>
      <w:r>
        <w:t xml:space="preserve">Furthermore, cybersecurity has become a paramount concern for the banker. As digital transactions increase within Malaysia Kuala Lumpur's financial ecosystem, the banker bears the responsibility of educating clients on security best practices and maintaining rigorous internal controls. This role extends beyond traditional banking duties into that of a digital guardian.</w:t>
      </w:r>
    </w:p>
    <w:bookmarkEnd w:id="22"/>
    <w:bookmarkStart w:id="23" w:name="Xf31ed6fc5e6b2ff65dde2c33efabc0677bc6b05"/>
    <w:p>
      <w:pPr>
        <w:pStyle w:val="Heading2"/>
      </w:pPr>
      <w:r>
        <w:t xml:space="preserve">3. Regulatory Complexity and Cross-Border Dynamics</w:t>
      </w:r>
    </w:p>
    <w:p>
      <w:pPr>
        <w:pStyle w:val="FirstParagraph"/>
      </w:pPr>
      <w:r>
        <w:t xml:space="preserve">Mas Kuala Lumpur is not an isolated entity; it is deeply integrated into global financial networks. The banker operating in this hub must navigate a complex web of local regulations imposed by Bank Negara Malaysia (BNM) and international standards set by bodies such as the Basel Committee on Banking Supervision. Recent regulatory frameworks in Malaysia have emphasized open banking, data privacy, and consumer protection.</w:t>
      </w:r>
    </w:p>
    <w:p>
      <w:pPr>
        <w:pStyle w:val="BodyText"/>
      </w:pPr>
      <w:r>
        <w:t xml:space="preserve">The role of the banker now includes significant compliance management. In Malaysia Kuala Lumpur, where cross-border capital flows are substantial, bankers must ensure adherence to Anti-Money Laundering (AML) and Counter-Financing of Terrorism (CFT) protocols. This requires continuous education and vigilance. The modern banker acts as a gatekeeper for financial integrity, balancing the drive for innovation with the strict requirements of regulatory compliance.</w:t>
      </w:r>
    </w:p>
    <w:p>
      <w:pPr>
        <w:pStyle w:val="BodyText"/>
      </w:pPr>
      <w:r>
        <w:t xml:space="preserve">Moreover, the rise of Shariah-compliant finance presents unique challenges and opportunities. As Malaysia Kuala Lumpur positions itself as a global hub for Islamic finance, bankers must possess specialized knowledge in Islamic jurisprudence (Fiqh al-Muamalat) alongside traditional financial analysis. This dual competency is essential for serving a diverse clientele that includes both domestic Muslim populations and international investors seeking Shariah-compliant instruments.</w:t>
      </w:r>
    </w:p>
    <w:bookmarkEnd w:id="23"/>
    <w:bookmarkStart w:id="24" w:name="X61900f0e9f4f9b92dbd8622ff0b536866af1caa"/>
    <w:p>
      <w:pPr>
        <w:pStyle w:val="Heading2"/>
      </w:pPr>
      <w:r>
        <w:t xml:space="preserve">4. The Imperative of Sustainable Finance and ESG</w:t>
      </w:r>
    </w:p>
    <w:p>
      <w:pPr>
        <w:pStyle w:val="FirstParagraph"/>
      </w:pPr>
      <w:r>
        <w:t xml:space="preserve">Environmental, Social, and Governance (ESG) criteria have moved from niche considerations to central strategic pillars for financial institutions. In Malaysia Kuala Lumpur, there is growing pressure from stakeholders for banks to finance green projects and promote social inclusivity. The banker’s role has thus expanded to include sustainability assessment.</w:t>
      </w:r>
    </w:p>
    <w:p>
      <w:pPr>
        <w:pStyle w:val="BodyText"/>
      </w:pPr>
      <w:r>
        <w:t xml:space="preserve">Banks in Malaysia are increasingly adopting ESG-linked lending criteria, where interest rates or loan terms are tied to the borrower’s sustainability performance. The banker must be equipped to evaluate non-financial metrics, such as carbon footprint and labor practices, alongside traditional financial health indicators. This requires a shift in mindset from short-term profit maximization to long-term value creation.</w:t>
      </w:r>
    </w:p>
    <w:p>
      <w:pPr>
        <w:pStyle w:val="BodyText"/>
      </w:pPr>
      <w:r>
        <w:t xml:space="preserve">Additionally, the social aspect of ESG demands that bankers address financial inclusion. In Malaysia Kuala Lumpur, bridging the gap between urban and rural populations remains a priority. Bankers are expected to design products that cater to underserved segments, leveraging digital platforms to reach remote areas while maintaining personalized service through community engagement.</w:t>
      </w:r>
    </w:p>
    <w:bookmarkEnd w:id="24"/>
    <w:bookmarkStart w:id="25" w:name="Xda1e9f5c50884f6186531cff3d59ed12446a3d7"/>
    <w:p>
      <w:pPr>
        <w:pStyle w:val="Heading2"/>
      </w:pPr>
      <w:r>
        <w:t xml:space="preserve">5. Skill Transformation and Professional Development</w:t>
      </w:r>
    </w:p>
    <w:p>
      <w:pPr>
        <w:pStyle w:val="FirstParagraph"/>
      </w:pPr>
      <w:r>
        <w:t xml:space="preserve">To meet these evolving demands, the banking curriculum and professional development programs in Malaysia Kuala Lumpur must undergo significant reform. Soft skills such as emotional intelligence, critical thinking, and ethical decision-making are becoming as important as technical financial knowledge. The banker of the future must be a lifelong learner.</w:t>
      </w:r>
    </w:p>
    <w:p>
      <w:pPr>
        <w:pStyle w:val="BodyText"/>
      </w:pPr>
      <w:r>
        <w:t xml:space="preserve">Institutions in Malaysia Kuala Lumpur are beginning to partner with universities and fintech firms to create hybrid training programs that combine finance with computer science and data analytics. Continuous professional development (CPD) is no longer optional but mandatory for survival in the industry. The cultural shift within banks must encourage experimentation and learning from failure, fostering an environment where bankers feel empowered to innovate within regulatory boundaries.</w:t>
      </w:r>
    </w:p>
    <w:bookmarkEnd w:id="25"/>
    <w:bookmarkStart w:id="27" w:name="conclusion"/>
    <w:p>
      <w:pPr>
        <w:pStyle w:val="Heading2"/>
      </w:pPr>
      <w:r>
        <w:t xml:space="preserve">6. Conclusion</w:t>
      </w:r>
    </w:p>
    <w:p>
      <w:pPr>
        <w:pStyle w:val="FirstParagraph"/>
      </w:pPr>
      <w:r>
        <w:t xml:space="preserve">The role of the banker in Malaysia Kuala Lumpur is undergoing a profound metamorphosis. No longer confined to the traditional brick-and-mortar branch model or limited to transactional duties, the modern banker is a strategic advisor, a technology enthusiast, and a guardian of ethical finance. The convergence of digital innovation, regulatory complexity, and sustainability imperatives defines this new era.</w:t>
      </w:r>
    </w:p>
    <w:p>
      <w:pPr>
        <w:pStyle w:val="BodyText"/>
      </w:pPr>
      <w:r>
        <w:t xml:space="preserve">For Malaysia Kuala Lumpur to maintain its status as a leading financial hub in Southeast Asia, it is imperative that banking institutions invest heavily in human capital development. By empowering bankers with the right skills and mindset, banks can deliver superior value to customers while contributing to the broader economic stability of the nation. The future belongs not to those who resist change, but to those who embrace it as an opportunity for growth and innovation.</w:t>
      </w:r>
    </w:p>
    <w:bookmarkStart w:id="26" w:name="references"/>
    <w:p>
      <w:pPr>
        <w:pStyle w:val="Heading3"/>
      </w:pPr>
      <w:r>
        <w:t xml:space="preserve">References</w:t>
      </w:r>
    </w:p>
    <w:p>
      <w:pPr>
        <w:numPr>
          <w:ilvl w:val="0"/>
          <w:numId w:val="1001"/>
        </w:numPr>
        <w:pStyle w:val="Compact"/>
      </w:pPr>
      <w:r>
        <w:t xml:space="preserve">Bangkin Negara Malaysia. (2022). *Financial Sector Blueprint 2022: Accelerating Financial Inclusion, Digitalization, and Sustainability*. Kuala Lumpur: BNM.</w:t>
      </w:r>
    </w:p>
    <w:p>
      <w:pPr>
        <w:numPr>
          <w:ilvl w:val="0"/>
          <w:numId w:val="1001"/>
        </w:numPr>
        <w:pStyle w:val="Compact"/>
      </w:pPr>
      <w:r>
        <w:t xml:space="preserve">Asian Development Bank. (2023). *Digital Finance in Southeast Asia: Opportunities and Challenges for Banking Institutions*. Manila: ADB.</w:t>
      </w:r>
    </w:p>
    <w:p>
      <w:pPr>
        <w:numPr>
          <w:ilvl w:val="0"/>
          <w:numId w:val="1001"/>
        </w:numPr>
        <w:pStyle w:val="Compact"/>
      </w:pPr>
      <w:r>
        <w:t xml:space="preserve">Sultan, N., &amp; Ali, R. (2021). "The Impact of Fintech on Traditional Banking Models in Malaysia." *Journal of Islamic Finance*, 10(2), 45-67.</w:t>
      </w:r>
    </w:p>
    <w:p>
      <w:pPr>
        <w:numPr>
          <w:ilvl w:val="0"/>
          <w:numId w:val="1001"/>
        </w:numPr>
        <w:pStyle w:val="Compact"/>
      </w:pPr>
      <w:r>
        <w:t xml:space="preserve">International Monetary Fund. (2023). *Global Financial Stability Report: Navigating the Digital Transition*. Washington, D.C.: IMF.</w:t>
      </w:r>
    </w:p>
    <w:p>
      <w:pPr>
        <w:numPr>
          <w:ilvl w:val="0"/>
          <w:numId w:val="1001"/>
        </w:numPr>
        <w:pStyle w:val="Compact"/>
      </w:pPr>
      <w:r>
        <w:t xml:space="preserve">Kuala Lumpur Stock Exchange. (2024). *ESG Reporting Guidelines for Listed Companies*. Kuala Lumpur: Bursa Malaysia.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Malaysia Kuala Lumpur: Strategic Adaptations for a Digital Future</dc:title>
  <dc:creator/>
  <dc:language>en</dc:language>
  <cp:keywords/>
  <dcterms:created xsi:type="dcterms:W3CDTF">2026-07-29T20:37:22Z</dcterms:created>
  <dcterms:modified xsi:type="dcterms:W3CDTF">2026-07-29T20:37:22Z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