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p>
    <w:bookmarkStart w:id="29" w:name="X915c0619a3e866e80ee5a378e0ae8cc3a84176d"/>
    <w:p>
      <w:pPr>
        <w:pStyle w:val="Heading1"/>
      </w:pPr>
      <w:r>
        <w:t xml:space="preserve">The Evolution and Strategic Role of the Banker in Myanmar Yangon</w:t>
      </w:r>
    </w:p>
    <w:p>
      <w:pPr>
        <w:pStyle w:val="FirstParagraph"/>
      </w:pPr>
      <w:r>
        <w:rPr>
          <w:iCs/>
          <w:i/>
          <w:bCs/>
          <w:b/>
        </w:rPr>
        <w:t xml:space="preserve">A Conference Paper Presented at the Southeast Asian Financial Integration Summit</w:t>
      </w:r>
    </w:p>
    <w:bookmarkStart w:id="20" w:name="abstract"/>
    <w:p>
      <w:pPr>
        <w:pStyle w:val="Heading2"/>
      </w:pPr>
      <w:r>
        <w:t xml:space="preserve">Abstract</w:t>
      </w:r>
    </w:p>
    <w:p>
      <w:pPr>
        <w:pStyle w:val="FirstParagraph"/>
      </w:pPr>
      <w:r>
        <w:t xml:space="preserve">This paper examines the critical transformation of the banking sector within Myanmar Yangon, analyzing how the role of the modern banker has evolved from traditional custodial functions to becoming strategic architects of economic stability. As Myanmar Yangon emerges as a pivotal financial hub in Southeast Asia, this study explores how bankers are navigating regulatory changes, integrating digital technologies, and fostering inclusive growth. The research highlights that for a</w:t>
      </w:r>
      <w:r>
        <w:t xml:space="preserve"> </w:t>
      </w:r>
      <w:r>
        <w:rPr>
          <w:bCs/>
          <w:b/>
        </w:rPr>
        <w:t xml:space="preserve">Banker</w:t>
      </w:r>
      <w:r>
        <w:t xml:space="preserve"> </w:t>
      </w:r>
      <w:r>
        <w:t xml:space="preserve">operating in this dynamic environment, success is no longer defined merely by asset accumulation but by the ability to facilitate sustainable development within the unique socio-economic context of Myanmar Yangon.</w:t>
      </w:r>
    </w:p>
    <w:bookmarkEnd w:id="20"/>
    <w:bookmarkStart w:id="21" w:name="X46e2916fd6226e2a10c7ba949af3dc4d71ad3bf"/>
    <w:p>
      <w:pPr>
        <w:pStyle w:val="Heading2"/>
      </w:pPr>
      <w:r>
        <w:t xml:space="preserve">1. Introduction: The Context of Myanmar Yangon</w:t>
      </w:r>
    </w:p>
    <w:p>
      <w:pPr>
        <w:pStyle w:val="FirstParagraph"/>
      </w:pPr>
      <w:r>
        <w:t xml:space="preserve">The financial landscape of Southeast Asia is undergoing a profound restructuring, with specific focal points emerging in developing economies. Among these, the region surrounding the commercial capital of Myanmar Yangon presents a unique case study for economic analysts and financial practitioners alike. Historically characterized by isolation and a state-dominated economy, recent decades have seen Myanmar Yangon open its doors to global markets, foreign direct investment (FDI), and private sector innovation.</w:t>
      </w:r>
    </w:p>
    <w:p>
      <w:pPr>
        <w:pStyle w:val="BodyText"/>
      </w:pPr>
      <w:r>
        <w:t xml:space="preserve">In this transitional phase, the institution of banking has served as the backbone of this economic renaissance. However, the definition of what constitutes a successful financial interaction has shifted dramatically. For decades, banking in Myanmar Yangon was synonymous with conservative lending and government-linked transactions. Today, it represents a complex ecosystem involving fintech integration, cross-border trade finance for ASEAN connectivity, and risk management in volatile markets. This paper argues that the contemporary</w:t>
      </w:r>
      <w:r>
        <w:t xml:space="preserve"> </w:t>
      </w:r>
      <w:r>
        <w:rPr>
          <w:bCs/>
          <w:b/>
        </w:rPr>
        <w:t xml:space="preserve">Banker</w:t>
      </w:r>
      <w:r>
        <w:t xml:space="preserve"> </w:t>
      </w:r>
      <w:r>
        <w:t xml:space="preserve">is not merely an administrator of capital but a catalyst for structural reform within Myanmar Yangon.</w:t>
      </w:r>
    </w:p>
    <w:bookmarkEnd w:id="21"/>
    <w:bookmarkStart w:id="22" w:name="the-changing-mandate-of-the-banker"/>
    <w:p>
      <w:pPr>
        <w:pStyle w:val="Heading2"/>
      </w:pPr>
      <w:r>
        <w:t xml:space="preserve">2. The Changing Mandate of the Banker</w:t>
      </w:r>
    </w:p>
    <w:p>
      <w:pPr>
        <w:pStyle w:val="FirstParagraph"/>
      </w:pPr>
      <w:r>
        <w:t xml:space="preserve">To understand the current trajectory, one must first deconstruct the traditional role of the banker. Historically, bankers operated in silos, focusing on liquidity provision and credit risk assessment based primarily on collateral rather than cash flow projections. In Myanmar Yangon, this model was insufficient for a growing private sector that lacked extensive tangible assets but possessed high growth potential.</w:t>
      </w:r>
    </w:p>
    <w:p>
      <w:pPr>
        <w:pStyle w:val="BodyText"/>
      </w:pPr>
      <w:r>
        <w:t xml:space="preserve">The modern</w:t>
      </w:r>
      <w:r>
        <w:t xml:space="preserve"> </w:t>
      </w:r>
      <w:r>
        <w:rPr>
          <w:bCs/>
          <w:b/>
        </w:rPr>
        <w:t xml:space="preserve">Banker</w:t>
      </w:r>
      <w:r>
        <w:t xml:space="preserve">, particularly those headquartered or actively operating in Myanmar Yangon, has adopted a consultative approach. This shift is driven by the necessity to align local banking practices with international standards set by bodies such as the Basel Committee on Banking Supervision. Consequently, bankers are now expected to possess dual competencies: deep local market knowledge specific to Myanmar Yangon’s cultural and regulatory nuances, and broad technical expertise in global financial instruments.</w:t>
      </w:r>
    </w:p>
    <w:p>
      <w:pPr>
        <w:pStyle w:val="BodyText"/>
      </w:pPr>
      <w:r>
        <w:t xml:space="preserve">For instance, the introduction of Sharia-compliant banking windows in major banks within Myanmar Yangon demonstrates how bankers must adapt their product offerings to serve diverse demographic segments. This adaptability is crucial for maintaining competitiveness as foreign banks enter the market alongside domestic institutions like CB Bank, AYA Bank, and KBZ Bank.</w:t>
      </w:r>
    </w:p>
    <w:bookmarkEnd w:id="22"/>
    <w:bookmarkStart w:id="23" w:name="X61f2c0a79ed62af57fffb89796e011c855d38cc"/>
    <w:p>
      <w:pPr>
        <w:pStyle w:val="Heading2"/>
      </w:pPr>
      <w:r>
        <w:t xml:space="preserve">3. Digital Transformation and Financial Inclusion</w:t>
      </w:r>
    </w:p>
    <w:p>
      <w:pPr>
        <w:pStyle w:val="FirstParagraph"/>
      </w:pPr>
      <w:r>
        <w:t xml:space="preserve">A significant portion of this paper focuses on the digital revolution sweeping through Myanmar Yangon. The rapid adoption of mobile banking solutions has leapfrogged traditional brick-and-mortar infrastructure challenges. In many districts of Myanmar Yangon, smartphone penetration exceeds bank branch density. Therefore, the role of the banker has expanded into digital literacy advocacy and cybersecurity management.</w:t>
      </w:r>
    </w:p>
    <w:p>
      <w:pPr>
        <w:pStyle w:val="BodyText"/>
      </w:pPr>
      <w:r>
        <w:t xml:space="preserve">Bankers in Myanmar Yangon are now tasked with bridging the gap between unbanked populations and formal financial systems. By leveraging mobile wallet integrations such as Wave Money or KBZPay, bankers facilitate micro-transactions that empower small-and-medium enterprises (SMEs). This digital inclusion is vital for the economy of Myanmar Yangon, allowing informal businesses to enter the formal tax net and gain access to credit history. The banker acts as an intermediary in this process, verifying identity through Know Your Customer (KYC) protocols while ensuring data privacy—a critical concern for users in Myanmar Yangon wary of state surveillance or fraud.</w:t>
      </w:r>
    </w:p>
    <w:bookmarkEnd w:id="23"/>
    <w:bookmarkStart w:id="24" w:name="Xdbb05de51371a68cd59b63ee7f580cb1f68f451"/>
    <w:p>
      <w:pPr>
        <w:pStyle w:val="Heading2"/>
      </w:pPr>
      <w:r>
        <w:t xml:space="preserve">4. Regulatory Navigation and Risk Management</w:t>
      </w:r>
    </w:p>
    <w:p>
      <w:pPr>
        <w:pStyle w:val="FirstParagraph"/>
      </w:pPr>
      <w:r>
        <w:t xml:space="preserve">The regulatory environment in Myanmar is characterized by frequent policy adjustments aimed at stabilizing the Kyat and managing inflation. For a banker, navigating this terrain requires sophisticated macroeconomic forecasting skills. The Central Bank of Myanmar (CBM) frequently updates circulars regarding foreign exchange reserves, lending limits, and non-performing loan (NPL) classifications.</w:t>
      </w:r>
    </w:p>
    <w:p>
      <w:pPr>
        <w:pStyle w:val="BodyText"/>
      </w:pPr>
      <w:r>
        <w:t xml:space="preserve">A competent</w:t>
      </w:r>
      <w:r>
        <w:t xml:space="preserve"> </w:t>
      </w:r>
      <w:r>
        <w:rPr>
          <w:bCs/>
          <w:b/>
        </w:rPr>
        <w:t xml:space="preserve">Banker</w:t>
      </w:r>
      <w:r>
        <w:t xml:space="preserve"> </w:t>
      </w:r>
      <w:r>
        <w:t xml:space="preserve">in Myanmar Yangon must anticipate these regulatory shifts to maintain solvency. This involves rigorous stress testing of loan portfolios against currency devaluation scenarios. Furthermore, bankers are increasingly involved in advocacy, providing feedback to policymakers on the practical implications of proposed regulations on local businesses. This collaborative role enhances the stability of financial institutions across Myanmar Yangon.</w:t>
      </w:r>
    </w:p>
    <w:p>
      <w:pPr>
        <w:pStyle w:val="BodyText"/>
      </w:pPr>
      <w:r>
        <w:t xml:space="preserve">Risk management has also expanded beyond credit risk to include geopolitical and operational risks. Given Myanmar’s complex political landscape, bankers must implement robust compliance frameworks to avoid sanctions violations and ensure ethical sourcing of funds. This is particularly relevant for international correspondent banking relationships, which are essential for trade finance in Myanmar Yangon.</w:t>
      </w:r>
    </w:p>
    <w:bookmarkEnd w:id="24"/>
    <w:bookmarkStart w:id="25" w:name="sustainable-finance-and-green-banking"/>
    <w:p>
      <w:pPr>
        <w:pStyle w:val="Heading2"/>
      </w:pPr>
      <w:r>
        <w:t xml:space="preserve">5. Sustainable Finance and Green Banking</w:t>
      </w:r>
    </w:p>
    <w:p>
      <w:pPr>
        <w:pStyle w:val="FirstParagraph"/>
      </w:pPr>
      <w:r>
        <w:t xml:space="preserve">As global capital flows increasingly prioritize Environmental, Social, and Governance (ESG) criteria, bankers in Myanmar Yangon are beginning to incorporate sustainability into their core strategies. The agriculture sector remains a cornerstone of the Myanmar economy, yet it is vulnerable to climate change. Banks are now offering "green loans" with preferential rates for farmers adopting sustainable practices and for developers constructing energy-efficient buildings in urban centers like Myanmar Yangon.</w:t>
      </w:r>
    </w:p>
    <w:p>
      <w:pPr>
        <w:pStyle w:val="BodyText"/>
      </w:pPr>
      <w:r>
        <w:t xml:space="preserve">This pivot towards sustainable finance not only mitigates long-term environmental risks but also opens access to international green bonds and development funds from multilateral institutions such as the Asian Development Bank (ADB). The banker thus serves as a gatekeeper for sustainable development capital, directing resources toward projects that offer both financial return and social benefit.</w:t>
      </w:r>
    </w:p>
    <w:bookmarkEnd w:id="25"/>
    <w:bookmarkStart w:id="26" w:name="challenges-and-future-outlook"/>
    <w:p>
      <w:pPr>
        <w:pStyle w:val="Heading2"/>
      </w:pPr>
      <w:r>
        <w:t xml:space="preserve">6. Challenges and Future Outlook</w:t>
      </w:r>
    </w:p>
    <w:p>
      <w:pPr>
        <w:pStyle w:val="FirstParagraph"/>
      </w:pPr>
      <w:r>
        <w:t xml:space="preserve">Despite progress, the banking sector in Myanmar Yangon faces significant hurdles. Human capital development remains a bottleneck; there is a shortage of professionals trained in advanced risk modeling, digital product management, and international compliance. Universities and financial institutions must collaborate to upskill the workforce.</w:t>
      </w:r>
    </w:p>
    <w:p>
      <w:pPr>
        <w:pStyle w:val="BodyText"/>
      </w:pPr>
      <w:r>
        <w:t xml:space="preserve">Additionally, infrastructure deficits—both physical (power supply) and digital (broadband reliability)—pose operational risks for banks in Myanmar Yangon. Cybersecurity threats are escalating as transaction volumes move online. The</w:t>
      </w:r>
      <w:r>
        <w:t xml:space="preserve"> </w:t>
      </w:r>
      <w:r>
        <w:rPr>
          <w:bCs/>
          <w:b/>
        </w:rPr>
        <w:t xml:space="preserve">Banker</w:t>
      </w:r>
      <w:r>
        <w:t xml:space="preserve"> </w:t>
      </w:r>
      <w:r>
        <w:t xml:space="preserve">of the future must therefore also be a technology innovator, investing heavily in secure cloud infrastructure and artificial intelligence-driven fraud detection systems.</w:t>
      </w:r>
    </w:p>
    <w:bookmarkEnd w:id="26"/>
    <w:bookmarkStart w:id="27" w:name="conclusion"/>
    <w:p>
      <w:pPr>
        <w:pStyle w:val="Heading2"/>
      </w:pPr>
      <w:r>
        <w:t xml:space="preserve">7. Conclusion</w:t>
      </w:r>
    </w:p>
    <w:p>
      <w:pPr>
        <w:pStyle w:val="FirstParagraph"/>
      </w:pPr>
      <w:r>
        <w:t xml:space="preserve">In conclusion, the role of the banker in Myanmar Yangon has transcended traditional financial intermediation. Today’s banker is a multifaceted professional who integrates digital innovation, regulatory compliance, sustainable finance principles, and deep local market intelligence. As Myanmar Yangon continues to integrate into the broader Asian economic sphere, the strategic decisions made by bankers will determine not only their institutional success but also the broader economic resilience of the nation.</w:t>
      </w:r>
    </w:p>
    <w:p>
      <w:pPr>
        <w:pStyle w:val="BodyText"/>
      </w:pPr>
      <w:r>
        <w:t xml:space="preserve">For stakeholders in Myanmar Yangon—whether policymakers, investors, or customers—it is imperative to recognize that supporting and developing this new breed of banker is essential for achieving long-term financial stability and inclusive growth. The evolution of the banking sector in Myanmar Yangon serves as a microcosm of the country’s broader economic journey: complex, challenging, yet brimming with potential for those who adapt.</w:t>
      </w:r>
    </w:p>
    <w:bookmarkEnd w:id="27"/>
    <w:bookmarkStart w:id="28" w:name="references"/>
    <w:p>
      <w:pPr>
        <w:pStyle w:val="Heading2"/>
      </w:pPr>
      <w:r>
        <w:t xml:space="preserve">References</w:t>
      </w:r>
    </w:p>
    <w:p>
      <w:pPr>
        <w:numPr>
          <w:ilvl w:val="0"/>
          <w:numId w:val="1001"/>
        </w:numPr>
        <w:pStyle w:val="Compact"/>
      </w:pPr>
      <w:r>
        <w:t xml:space="preserve">Central Bank of Myanmar. (2023). *Annual Monetary Policy Report*. Yangon: CBM Publications.</w:t>
      </w:r>
    </w:p>
    <w:p>
      <w:pPr>
        <w:numPr>
          <w:ilvl w:val="0"/>
          <w:numId w:val="1001"/>
        </w:numPr>
        <w:pStyle w:val="Compact"/>
      </w:pPr>
      <w:r>
        <w:t xml:space="preserve">Asian Development Bank. (2024). *Myanmar Economic Monitor: Banking Sector Resilience*. Manila: ADB.</w:t>
      </w:r>
    </w:p>
    <w:p>
      <w:pPr>
        <w:numPr>
          <w:ilvl w:val="0"/>
          <w:numId w:val="1001"/>
        </w:numPr>
        <w:pStyle w:val="Compact"/>
      </w:pPr>
      <w:r>
        <w:t xml:space="preserve">National Economic and Administration Council. (2023). *Strategic Framework for Financial Sector Reform in Myanmar Yangon*.</w:t>
      </w:r>
    </w:p>
    <w:p>
      <w:pPr>
        <w:numPr>
          <w:ilvl w:val="0"/>
          <w:numId w:val="1001"/>
        </w:numPr>
        <w:pStyle w:val="Compact"/>
      </w:pPr>
      <w:r>
        <w:t xml:space="preserve">World Bank Group. (2024). *Digital Finance Adoption Trends in Southeast Asia: Focus on Myanmar*.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Myanmar Yangon: A Conference Paper</dc:title>
  <dc:creator/>
  <dc:language>en</dc:language>
  <cp:keywords/>
  <dcterms:created xsi:type="dcterms:W3CDTF">2026-07-29T16:01:00Z</dcterms:created>
  <dcterms:modified xsi:type="dcterms:W3CDTF">2026-07-29T16:01:00Z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