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Russia:</w:t>
      </w:r>
      <w:r>
        <w:t xml:space="preserve"> </w:t>
      </w:r>
      <w:r>
        <w:t xml:space="preserve">A</w:t>
      </w:r>
      <w:r>
        <w:t xml:space="preserve"> </w:t>
      </w:r>
      <w:r>
        <w:t xml:space="preserve">Conference</w:t>
      </w:r>
      <w:r>
        <w:t xml:space="preserve"> </w:t>
      </w:r>
      <w:r>
        <w:t xml:space="preserve">Paper</w:t>
      </w:r>
    </w:p>
    <w:bookmarkStart w:id="29" w:name="X6476d6bbee6e5264d42add9eeca620eec475735"/>
    <w:p>
      <w:pPr>
        <w:pStyle w:val="Heading1"/>
      </w:pPr>
      <w:r>
        <w:t xml:space="preserve">The Modern Banker in Russia Moscow: Navigating Geopolitical Shifting Sands and Digital Sovereignty</w:t>
      </w:r>
    </w:p>
    <w:p>
      <w:pPr>
        <w:pStyle w:val="FirstParagraph"/>
      </w:pPr>
      <w:r>
        <w:rPr>
          <w:bCs/>
          <w:b/>
        </w:rPr>
        <w:t xml:space="preserve">Presentation at the International Symposium on Financial Systems in Transition</w:t>
      </w:r>
    </w:p>
    <w:p>
      <w:pPr>
        <w:pStyle w:val="BodyText"/>
      </w:pPr>
      <w:r>
        <w:rPr>
          <w:bCs/>
          <w:b/>
        </w:rPr>
        <w:t xml:space="preserve">Date:</w:t>
      </w:r>
      <w:r>
        <w:t xml:space="preserve"> </w:t>
      </w:r>
      <w:r>
        <w:t xml:space="preserve">October 2023</w:t>
      </w:r>
    </w:p>
    <w:p>
      <w:pPr>
        <w:pStyle w:val="BodyText"/>
      </w:pPr>
      <w:r>
        <w:rPr>
          <w:bCs/>
          <w:b/>
        </w:rPr>
        <w:t xml:space="preserve">Locus:</w:t>
      </w:r>
      <w:r>
        <w:t xml:space="preserve"> </w:t>
      </w:r>
      <w:r>
        <w:t xml:space="preserve">Russia Moscow, Central Bank Auditorium</w:t>
      </w:r>
    </w:p>
    <w:bookmarkStart w:id="20" w:name="abstract"/>
    <w:p>
      <w:pPr>
        <w:pStyle w:val="Heading2"/>
      </w:pPr>
      <w:r>
        <w:t xml:space="preserve">Abstract</w:t>
      </w:r>
    </w:p>
    <w:p>
      <w:pPr>
        <w:pStyle w:val="FirstParagraph"/>
      </w:pPr>
      <w:r>
        <w:t xml:space="preserve">This paper examines the profound transformation of the professional identity and operational scope of the modern banker within the distinct economic ecosystem of Russia Moscow. As a global financial hub situated in a nation undergoing significant geopolitical restructuring, Russia Moscow presents a unique case study for understanding how traditional banking paradigms are being redefined. This conference paper analyzes how a banker must now navigate dual pressures: implementing strict capital controls and domestic regulatory frameworks while simultaneously fostering cross-border trade mechanisms outside of Western-dominated systems. We argue that the contemporary banker in Russia Moscow is no longer merely a custodian of capital but an architect of financial sovereignty, requiring a specialized skill set that blends traditional credit analysis with geopolitical risk assessment and digital currency integration.</w:t>
      </w:r>
    </w:p>
    <w:bookmarkEnd w:id="20"/>
    <w:bookmarkStart w:id="21" w:name="introduction"/>
    <w:p>
      <w:pPr>
        <w:pStyle w:val="Heading2"/>
      </w:pPr>
      <w:r>
        <w:t xml:space="preserve">1. Introduction</w:t>
      </w:r>
    </w:p>
    <w:p>
      <w:pPr>
        <w:pStyle w:val="FirstParagraph"/>
      </w:pPr>
      <w:r>
        <w:t xml:space="preserve">The role of the banker has historically been defined by stability, trust, and regulatory compliance within established global networks. However, the current landscape in Russia Moscow challenges these conventional definitions with unprecedented intensity. Situated at the intersection of European and Asian markets, Russia Moscow has evolved into a critical node for alternative financial flows. For any professional operating as a banker in this region today, the traditional Western-centric model of banking is no longer sufficient or even applicable in many sectors.</w:t>
      </w:r>
    </w:p>
    <w:p>
      <w:pPr>
        <w:pStyle w:val="BodyText"/>
      </w:pPr>
      <w:r>
        <w:t xml:space="preserve">This document serves as an academic and practical inquiry into the new realities facing the Russian banking sector. It specifically targets the context of Russia Moscow, where major financial institutions have consolidated their headquarters to manage both domestic stability and international resilience. The core thesis of this conference paper is that the modern banker in Russia Moscow must adopt a hybrid identity: part traditional fiduciary, part geopolitical strategist.</w:t>
      </w:r>
    </w:p>
    <w:bookmarkEnd w:id="21"/>
    <w:bookmarkStart w:id="22" w:name="Xaeca93790769686d9cd26462180663a64050c0d"/>
    <w:p>
      <w:pPr>
        <w:pStyle w:val="Heading2"/>
      </w:pPr>
      <w:r>
        <w:t xml:space="preserve">2. The Geopolitical Context of Banking in Russia Moscow</w:t>
      </w:r>
    </w:p>
    <w:p>
      <w:pPr>
        <w:pStyle w:val="FirstParagraph"/>
      </w:pPr>
      <w:r>
        <w:t xml:space="preserve">To understand the function of a banker today, one must first acknowledge the macro-environmental shocks that have reshaped Russia Moscow as a financial center. Following extensive sanctions regimes, international correspondent banking relationships (SWIFT) for many major institutions were severed. This necessitated a rapid pivot towards national payment systems and bilateral trade agreements.</w:t>
      </w:r>
    </w:p>
    <w:p>
      <w:pPr>
        <w:pStyle w:val="BodyText"/>
      </w:pPr>
      <w:r>
        <w:t xml:space="preserve">For the banker operating in this environment, the primary challenge is liquidity management without access to traditional Western clearing houses. A banker in Russia Moscow must now possess deep knowledge of alternative settlement mechanisms, including but not limited to the SPFS (System for Transfer of Financial Messages) and bilateral currency swap agreements with partners in Asia, Africa, and Latin America. The banker’s role has expanded from managing client assets to actively facilitating diplomatic economic relations through financial instruments.</w:t>
      </w:r>
    </w:p>
    <w:bookmarkEnd w:id="22"/>
    <w:bookmarkStart w:id="23" w:name="X7304462317dc5c4919e9955b0e1513fed14e1fd"/>
    <w:p>
      <w:pPr>
        <w:pStyle w:val="Heading2"/>
      </w:pPr>
      <w:r>
        <w:t xml:space="preserve">3. Digital Sovereignty and the CBDC Transition</w:t>
      </w:r>
    </w:p>
    <w:p>
      <w:pPr>
        <w:pStyle w:val="FirstParagraph"/>
      </w:pPr>
      <w:r>
        <w:t xml:space="preserve">A critical aspect of the contemporary banker's toolkit in Russia Moscow is the integration of Digital Financial Assets (DFAs) and the potential rollout of a Central Bank Digital Currency (CBDC). The Central Bank of Russia has been proactive in developing its digital infrastructure to ensure financial sovereignty. Consequently, bankers are required to upskill rapidly in blockchain technologies, smart contract logic, and secure digital identity verification.</w:t>
      </w:r>
    </w:p>
    <w:p>
      <w:pPr>
        <w:pStyle w:val="BodyText"/>
      </w:pPr>
      <w:r>
        <w:t xml:space="preserve">In this conference paper, we highlight that the "digital-native" banker is becoming a prerequisite rather than an option. Institutions in Russia Moscow are investing heavily in fintech subsidiaries to bridge the gap between legacy banking infrastructure and modern decentralized finance (DeFi) concepts adapted for national regulation. The banker must now understand how to advise corporate clients on tokenizing assets, thereby increasing liquidity without exposing the institution to external regulatory risks.</w:t>
      </w:r>
    </w:p>
    <w:bookmarkEnd w:id="23"/>
    <w:bookmarkStart w:id="24" w:name="X1e1efbd612e61a82744e1f86710c76a566439ee"/>
    <w:p>
      <w:pPr>
        <w:pStyle w:val="Heading2"/>
      </w:pPr>
      <w:r>
        <w:t xml:space="preserve">4. Domestic Market Dynamics and Retail Banking</w:t>
      </w:r>
    </w:p>
    <w:p>
      <w:pPr>
        <w:pStyle w:val="FirstParagraph"/>
      </w:pPr>
      <w:r>
        <w:t xml:space="preserve">While international complexities dominate headlines, the daily function of a banker in Russia Moscow remains deeply rooted in domestic retail and corporate banking. With high interest rate environments driven by inflationary pressures, credit risk assessment has become more rigorous. The modern banker must employ advanced algorithmic scoring models to evaluate borrower reliability.</w:t>
      </w:r>
    </w:p>
    <w:p>
      <w:pPr>
        <w:pStyle w:val="BodyText"/>
      </w:pPr>
      <w:r>
        <w:t xml:space="preserve">Furthermore, consumer behavior in Russia Moscow has shifted dramatically towards mobile-first banking applications. Bankers are now tasked with enhancing user experience (UX) and ensuring seamless integration of biometric authentication methods. The competitive landscape within Russia Moscow is fierce, with state-owned giants competing against agile private fintech players. This competition drives innovation but also increases the pressure on bankers to deliver personalized, high-value financial advice that goes beyond standard product sales.</w:t>
      </w:r>
    </w:p>
    <w:bookmarkEnd w:id="24"/>
    <w:bookmarkStart w:id="25" w:name="X031121e36b12c607fee7c32cd68849406bf7e53"/>
    <w:p>
      <w:pPr>
        <w:pStyle w:val="Heading2"/>
      </w:pPr>
      <w:r>
        <w:t xml:space="preserve">5. Compliance and Anti-Money Laundering (AML) in a Isolated System</w:t>
      </w:r>
    </w:p>
    <w:p>
      <w:pPr>
        <w:pStyle w:val="FirstParagraph"/>
      </w:pPr>
      <w:r>
        <w:t xml:space="preserve">The isolation of Russia Moscow from Western financial monitoring bodies has created a paradoxical compliance environment. While external sanctions require strict adherence to non-interaction protocols, internal Russian law enforcement demands rigorous Anti-Money Laundering (AML) and Counter-Terrorist Financing (CFT) standards. The banker must therefore navigate a complex web of domestic regulations that are increasingly stringent.</w:t>
      </w:r>
    </w:p>
    <w:p>
      <w:pPr>
        <w:pStyle w:val="BodyText"/>
      </w:pPr>
      <w:r>
        <w:t xml:space="preserve">This conference paper posits that the risk profile of a banker in this sector has shifted from "external reputational risk" to "internal regulatory compliance." Failure to comply with local Central Bank directives can result in severe penalties, license revocation, or criminal liability. Therefore, continuous professional development regarding domestic legal frameworks is as crucial as understanding international trade laws.</w:t>
      </w:r>
    </w:p>
    <w:bookmarkEnd w:id="25"/>
    <w:bookmarkStart w:id="26" w:name="human-capital-and-professional-ethics"/>
    <w:p>
      <w:pPr>
        <w:pStyle w:val="Heading2"/>
      </w:pPr>
      <w:r>
        <w:t xml:space="preserve">6. Human Capital and Professional Ethics</w:t>
      </w:r>
    </w:p>
    <w:p>
      <w:pPr>
        <w:pStyle w:val="FirstParagraph"/>
      </w:pPr>
      <w:r>
        <w:t xml:space="preserve">The evolution of the banking sector in Russia Moscow has also impacted human capital dynamics. There is a significant brain drain in certain technical sectors, prompting banks to invest heavily in internal training academies. The "banker" of tomorrow will be an interdisciplinary professional, fluent in data science, international law, and macroeconomics.</w:t>
      </w:r>
    </w:p>
    <w:p>
      <w:pPr>
        <w:pStyle w:val="BodyText"/>
      </w:pPr>
      <w:r>
        <w:t xml:space="preserve">Ethical considerations remain paramount. As the banking sector becomes more integrated with state policy objectives for economic stability, bankers face unique ethical dilemmas regarding client confidentiality versus national security interests. This conference paper argues for a robust code of ethics specific to the Russian context, one that balances loyalty to the state with fiduciary duties to clients.</w:t>
      </w:r>
    </w:p>
    <w:bookmarkEnd w:id="26"/>
    <w:bookmarkStart w:id="27" w:name="conclusion"/>
    <w:p>
      <w:pPr>
        <w:pStyle w:val="Heading2"/>
      </w:pPr>
      <w:r>
        <w:t xml:space="preserve">7. Conclusion</w:t>
      </w:r>
    </w:p>
    <w:p>
      <w:pPr>
        <w:pStyle w:val="FirstParagraph"/>
      </w:pPr>
      <w:r>
        <w:t xml:space="preserve">In conclusion, the role of the banker in Russia Moscow has undergone a metamorphosis driven by geopolitical necessity and technological imperative. It is no longer sufficient to be merely a manager of money; one must be a navigator of complex financial sanctions, a proponent of digital currency adoption, and an expert in domestic regulatory compliance.</w:t>
      </w:r>
    </w:p>
    <w:p>
      <w:pPr>
        <w:pStyle w:val="BodyText"/>
      </w:pPr>
      <w:r>
        <w:t xml:space="preserve">For financial institutions operating in Russia Moscow, the competitive advantage will lie in the ability to empower their bankers with this diverse skill set. Future research should focus on long-term sustainability models for banking institutions that operate successfully within these constrained yet innovative parameters. As Russia Moscow continues to assert its position as an independent financial pole, the definition of a successful banker will continue to evolve, demanding resilience, adaptability, and strategic foresight.</w:t>
      </w:r>
    </w:p>
    <w:bookmarkEnd w:id="27"/>
    <w:bookmarkStart w:id="28" w:name="references"/>
    <w:p>
      <w:pPr>
        <w:pStyle w:val="Heading2"/>
      </w:pPr>
      <w:r>
        <w:t xml:space="preserve">References</w:t>
      </w:r>
    </w:p>
    <w:p>
      <w:pPr>
        <w:numPr>
          <w:ilvl w:val="0"/>
          <w:numId w:val="1001"/>
        </w:numPr>
        <w:pStyle w:val="Compact"/>
      </w:pPr>
      <w:r>
        <w:t xml:space="preserve">Central Bank of the Russian Federation. (2023). *Annual Report on Financial Stability.*</w:t>
      </w:r>
    </w:p>
    <w:p>
      <w:pPr>
        <w:numPr>
          <w:ilvl w:val="0"/>
          <w:numId w:val="1001"/>
        </w:numPr>
        <w:pStyle w:val="Compact"/>
      </w:pPr>
      <w:r>
        <w:t xml:space="preserve">Korol, I., &amp; Volkov, A. (2024). "Digital Ruble: Implications for Retail Banking." *Journal of Russian Economic Studies.*</w:t>
      </w:r>
    </w:p>
    <w:p>
      <w:pPr>
        <w:numPr>
          <w:ilvl w:val="0"/>
          <w:numId w:val="1001"/>
        </w:numPr>
        <w:pStyle w:val="Compact"/>
      </w:pPr>
      <w:r>
        <w:t xml:space="preserve">Mikhailova, E. (2023). "Geopolitics and Finance: The New Era of Moscow Markets." *International Review of Financial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Banker Role in Russia: A Conference Paper</dc:title>
  <dc:creator/>
  <dc:language>en</dc:language>
  <cp:keywords/>
  <dcterms:created xsi:type="dcterms:W3CDTF">2026-07-29T22:33:59Z</dcterms:created>
  <dcterms:modified xsi:type="dcterms:W3CDTF">2026-07-29T22:33:59Z</dcterms:modified>
</cp:coreProperties>
</file>

<file path=docProps/custom.xml><?xml version="1.0" encoding="utf-8"?>
<Properties xmlns="http://schemas.openxmlformats.org/officeDocument/2006/custom-properties" xmlns:vt="http://schemas.openxmlformats.org/officeDocument/2006/docPropsVTypes"/>
</file>