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Navigating</w:t>
      </w:r>
      <w:r>
        <w:t xml:space="preserve"> </w:t>
      </w:r>
      <w:r>
        <w:t xml:space="preserve">Digital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ff74496d1b5312c7e95af73519b008d354ad6ce"/>
    <w:p>
      <w:pPr>
        <w:pStyle w:val="Heading1"/>
      </w:pPr>
      <w:r>
        <w:t xml:space="preserve">The Modern Banker in the Era of Vision 2030:</w:t>
      </w:r>
      <w:r>
        <w:br/>
      </w:r>
      <w:r>
        <w:t xml:space="preserve">A Strategic Analysis of Digital Transformation in Saudi Arabia Riyadh</w:t>
      </w:r>
    </w:p>
    <w:p>
      <w:pPr>
        <w:pStyle w:val="FirstParagraph"/>
      </w:pPr>
      <w:r>
        <w:rPr>
          <w:bCs/>
          <w:b/>
        </w:rPr>
        <w:t xml:space="preserve">Conference Paper Presentation</w:t>
      </w:r>
      <w:r>
        <w:br/>
      </w:r>
      <w:r>
        <w:t xml:space="preserve">International Summit on Middle Eastern Economic Development</w:t>
      </w:r>
      <w:r>
        <w:br/>
      </w:r>
      <w:r>
        <w:t xml:space="preserve">Date: October 24, 2023</w:t>
      </w:r>
      <w:r>
        <w:br/>
      </w:r>
      <w:r>
        <w:t xml:space="preserve">Location: Riyadh Convention Center, Saudi Arabia Riyadh</w:t>
      </w:r>
    </w:p>
    <w:bookmarkStart w:id="20" w:name="dr.-ahmed-al-fahad"/>
    <w:p>
      <w:pPr>
        <w:pStyle w:val="Heading3"/>
      </w:pPr>
      <w:r>
        <w:t xml:space="preserve">Dr. Ahmed Al-Fahad</w:t>
      </w:r>
    </w:p>
    <w:p>
      <w:pPr>
        <w:pStyle w:val="FirstParagraph"/>
      </w:pPr>
      <w:r>
        <w:br/>
      </w:r>
      <w:r>
        <w:t xml:space="preserve">This paper explores the evolving role of the modern banker within the unique economic landscape of Saudi Arabia, with a specific focus on the capital city of Riyadh. As Vision 2030 accelerates, traditional banking models are being disrupted by fintech innovations and changing consumer behaviors. We analyze how professional bankers in Saudi Arabia must adapt to become strategic advisors rather than mere transactional processors. The study highlights the regulatory shifts introduced by the Saudi Central Bank (SAMA), the rise of digital banking hubs in Riyadh, and the cultural imperative of aligning banking services with Islamic finance principles while embracing global fintech standards. Our findings suggest that banks headquartered or operating significantly in Saudi Arabia Riyadh are poised to become regional leaders in open banking and sustainable finance.</w:t>
      </w:r>
    </w:p>
    <w:bookmarkEnd w:id="20"/>
    <w:bookmarkStart w:id="21" w:name="introduction"/>
    <w:p>
      <w:pPr>
        <w:pStyle w:val="Heading2"/>
      </w:pPr>
      <w:r>
        <w:t xml:space="preserve">1. Introduction</w:t>
      </w:r>
    </w:p>
    <w:p>
      <w:pPr>
        <w:pStyle w:val="FirstParagraph"/>
      </w:pPr>
      <w:r>
        <w:t xml:space="preserve">The financial sector is undergoing a paradigm shift globally, driven by rapid technological advancements and shifting geopolitical dynamics. Nowhere is this transformation more palpable than in the Kingdom of Saudi Arabia. As the Kingdom strives to diversify its economy away from oil dependency through Vision 2030, the role of banking has become central to this national ambition. This paper specifically examines the operational and strategic challenges facing bankers operating in Saudi Arabia Riyadh, which has emerged as a premier hub for financial services in the Middle East.</w:t>
      </w:r>
    </w:p>
    <w:p>
      <w:pPr>
        <w:pStyle w:val="BodyText"/>
      </w:pPr>
      <w:r>
        <w:t xml:space="preserve">Riyadh is no longer just a political capital; it is rapidly becoming a global business center. The influx of international corporations and local startups seeking funding requires bankers to possess skills that extend far beyond traditional credit assessment. The modern banker must understand venture capital, digital asset management, and sustainable investment frameworks. This paper aims to define the new competency framework required for bankers in this dynamic environment.</w:t>
      </w:r>
    </w:p>
    <w:bookmarkEnd w:id="21"/>
    <w:bookmarkStart w:id="22" w:name="X2155ae7b9441b2f50eb8bd0b5480f70bbdb3e7f"/>
    <w:p>
      <w:pPr>
        <w:pStyle w:val="Heading2"/>
      </w:pPr>
      <w:r>
        <w:t xml:space="preserve">2. The Regulatory Landscape: SAMA and Vision 2030</w:t>
      </w:r>
    </w:p>
    <w:p>
      <w:pPr>
        <w:pStyle w:val="FirstParagraph"/>
      </w:pPr>
      <w:r>
        <w:t xml:space="preserve">The primary driver of change for any banker in Saudi Arabia is the regulatory environment established by the Saudi Central Bank (SAMA). Under the umbrella of Vision 3, SAMA has implemented aggressive reforms to modernize the banking sector. For a banker based in Riyadh, understanding these regulations is not optional; it is foundational.</w:t>
      </w:r>
    </w:p>
    <w:p>
      <w:pPr>
        <w:pStyle w:val="BodyText"/>
      </w:pPr>
      <w:r>
        <w:t xml:space="preserve">Key initiatives include Open Banking frameworks, which mandate data sharing between banks and third-party providers. This requires bankers to rethink customer relationship management (CRM) strategies. Furthermore, the regulator’s emphasis on financial inclusion means that bankers must develop products accessible to unbanked populations, including SMEs and young entrepreneurs. In Riyadh, where the density of such entities is high due to government incentives for business registration, this creates a vast market opportunity but also a complex compliance burden.</w:t>
      </w:r>
    </w:p>
    <w:bookmarkEnd w:id="22"/>
    <w:bookmarkStart w:id="25" w:name="Xbc1d47106519f80c3edd7c27af21b4cf818660a"/>
    <w:p>
      <w:pPr>
        <w:pStyle w:val="Heading2"/>
      </w:pPr>
      <w:r>
        <w:t xml:space="preserve">3. Digital Transformation and Fintech Integration</w:t>
      </w:r>
    </w:p>
    <w:p>
      <w:pPr>
        <w:pStyle w:val="FirstParagraph"/>
      </w:pPr>
      <w:r>
        <w:t xml:space="preserve">In recent years, Saudi Arabia Riyadh has seen an explosion in the fintech sector. The presence of "Fintech Saudi" and various innovation sandboxes within the city has allowed startups to pilot solutions rapidly. For traditional bankers, this presents both a threat and an opportunity.</w:t>
      </w:r>
    </w:p>
    <w:bookmarkStart w:id="23" w:name="the-neobank-challenge"/>
    <w:p>
      <w:pPr>
        <w:pStyle w:val="Heading3"/>
      </w:pPr>
      <w:r>
        <w:t xml:space="preserve">3.1 The Neobank Challenge</w:t>
      </w:r>
    </w:p>
    <w:p>
      <w:pPr>
        <w:pStyle w:val="FirstParagraph"/>
      </w:pPr>
      <w:r>
        <w:t xml:space="preserve">The launch of neobanks in Saudi Arabia has disrupted customer expectations regarding user experience (UX). Customers now expect real-time transactions, instant loan approvals via mobile apps, and seamless integration with lifestyle services. Bankers can no longer rely on physical branch visits for service delivery. Instead, they must act as digital consultants who guide clients through automated platforms.</w:t>
      </w:r>
    </w:p>
    <w:bookmarkEnd w:id="23"/>
    <w:bookmarkStart w:id="24" w:name="blockchain-and-cryptocurrency-awareness"/>
    <w:p>
      <w:pPr>
        <w:pStyle w:val="Heading3"/>
      </w:pPr>
      <w:r>
        <w:t xml:space="preserve">3.2 Blockchain and Cryptocurrency Awareness</w:t>
      </w:r>
    </w:p>
    <w:p>
      <w:pPr>
        <w:pStyle w:val="FirstParagraph"/>
      </w:pPr>
      <w:r>
        <w:t xml:space="preserve">Saudi Arabia Riyadh is positioning itself as a hub for blockchain technology in the region. While cryptocurrency trading remains regulated, other applications of distributed ledger technology (DLT) in trade finance and smart contracts are gaining traction. Bankers must acquire literacy in these technologies to advise corporate clients effectively on supply chain financing and cross-border payments.</w:t>
      </w:r>
    </w:p>
    <w:bookmarkEnd w:id="24"/>
    <w:bookmarkEnd w:id="25"/>
    <w:bookmarkStart w:id="26" w:name="X438e80b338595e27e50e5d2d6b6f813bb0c4bfe"/>
    <w:p>
      <w:pPr>
        <w:pStyle w:val="Heading2"/>
      </w:pPr>
      <w:r>
        <w:t xml:space="preserve">4. Islamic Finance: A Unique Competitive Advantage</w:t>
      </w:r>
    </w:p>
    <w:p>
      <w:pPr>
        <w:pStyle w:val="FirstParagraph"/>
      </w:pPr>
      <w:r>
        <w:t xml:space="preserve">A distinct characteristic of banking in Saudi Arabia is the prevalence of Islamic finance. It is not merely a niche product but a fundamental structural component of the financial system here. Bankers in Riyadh must possess deep expertise in Sharia-compliant products such as Murabaha, Ijara, and Sukuk.</w:t>
      </w:r>
    </w:p>
    <w:p>
      <w:pPr>
        <w:pStyle w:val="BodyText"/>
      </w:pPr>
      <w:r>
        <w:t xml:space="preserve">However, globalization demands that these principles be adapted to meet international standards. The modern banker acts as a bridge between local cultural values and global financial practices. For instance, structuring Islamic bonds (Sukuk) for international investors requires a nuanced understanding of both Sharia law and Western accounting standards. This dual competency is increasingly valuable as Riyadh hosts major international summits like the FII (Future Investment Initiative), attracting foreign capital seeking compliant investment vehicles.</w:t>
      </w:r>
    </w:p>
    <w:bookmarkEnd w:id="26"/>
    <w:bookmarkStart w:id="27" w:name="human-capital-and-skill-development"/>
    <w:p>
      <w:pPr>
        <w:pStyle w:val="Heading2"/>
      </w:pPr>
      <w:r>
        <w:t xml:space="preserve">5. Human Capital and Skill Development</w:t>
      </w:r>
    </w:p>
    <w:p>
      <w:pPr>
        <w:pStyle w:val="FirstParagraph"/>
      </w:pPr>
      <w:r>
        <w:t xml:space="preserve">The transition to a modern banking model requires a significant upskilling of the workforce. The traditional profile of a banker—analytical, risk-averse, and process-oriented—is insufficient for the demands of Saudi Arabia Riyadh’s dynamic market.</w:t>
      </w:r>
    </w:p>
    <w:p>
      <w:pPr>
        <w:numPr>
          <w:ilvl w:val="0"/>
          <w:numId w:val="1001"/>
        </w:numPr>
        <w:pStyle w:val="Compact"/>
      </w:pPr>
      <w:r>
        <w:rPr>
          <w:bCs/>
          <w:b/>
        </w:rPr>
        <w:t xml:space="preserve">Data Analytics:</w:t>
      </w:r>
      <w:r>
        <w:t xml:space="preserve"> </w:t>
      </w:r>
      <w:r>
        <w:t xml:space="preserve">Bankers must interpret big data to assess credit risk more accurately and identify cross-selling opportunities.</w:t>
      </w:r>
    </w:p>
    <w:p>
      <w:pPr>
        <w:numPr>
          <w:ilvl w:val="0"/>
          <w:numId w:val="1001"/>
        </w:numPr>
        <w:pStyle w:val="Compact"/>
      </w:pPr>
      <w:r>
        <w:rPr>
          <w:bCs/>
          <w:b/>
        </w:rPr>
        <w:t xml:space="preserve">Digital Literacy:</w:t>
      </w:r>
      <w:r>
        <w:t xml:space="preserve"> </w:t>
      </w:r>
      <w:r>
        <w:t xml:space="preserve">Proficiency in using core banking software, CRM tools, and cybersecurity protocols is now mandatory.</w:t>
      </w:r>
    </w:p>
    <w:p>
      <w:pPr>
        <w:numPr>
          <w:ilvl w:val="0"/>
          <w:numId w:val="1001"/>
        </w:numPr>
        <w:pStyle w:val="Compact"/>
      </w:pPr>
      <w:r>
        <w:rPr>
          <w:bCs/>
          <w:b/>
        </w:rPr>
        <w:t xml:space="preserve">Cultural Intelligence:</w:t>
      </w:r>
      <w:r>
        <w:t xml:space="preserve"> </w:t>
      </w:r>
      <w:r>
        <w:t xml:space="preserve">In a multicultural hub like Riyadh, bankers must navigate diverse client bases effectively.</w:t>
      </w:r>
    </w:p>
    <w:p>
      <w:pPr>
        <w:pStyle w:val="FirstParagraph"/>
      </w:pPr>
      <w:r>
        <w:t xml:space="preserve">Saudization (Nitaqat) policies have further accelerated the need for training local talent. Financial institutions are investing heavily in academies within Riyadh to ensure that the next generation of bankers is equipped with both technical skills and leadership capabilities.</w:t>
      </w:r>
    </w:p>
    <w:bookmarkEnd w:id="27"/>
    <w:bookmarkStart w:id="28" w:name="sustainability-and-esg-compliance"/>
    <w:p>
      <w:pPr>
        <w:pStyle w:val="Heading2"/>
      </w:pPr>
      <w:r>
        <w:t xml:space="preserve">6. Sustainability and ESG Compliance</w:t>
      </w:r>
    </w:p>
    <w:p>
      <w:pPr>
        <w:pStyle w:val="FirstParagraph"/>
      </w:pPr>
      <w:r>
        <w:t xml:space="preserve">Vision 2030 places a heavy emphasis on sustainability. Consequently, Environmental, Social, and Governance (ESG) criteria are becoming central to banking decisions in Saudi Arabia Riyadh. Bankers are increasingly tasked with evaluating the environmental impact of loans for industrial projects or renewable energy initiatives.</w:t>
      </w:r>
    </w:p>
    <w:p>
      <w:pPr>
        <w:pStyle w:val="BodyText"/>
      </w:pPr>
      <w:r>
        <w:t xml:space="preserve">The Green Financing framework introduced by SAMA provides guidelines for green bonds and sustainable loans. Bankers must integrate ESG metrics into their risk assessment models. This shift is not only regulatory but also strategic, as international investors are increasingly prioritizing assets with strong ESG profiles.</w:t>
      </w:r>
    </w:p>
    <w:bookmarkEnd w:id="28"/>
    <w:bookmarkStart w:id="29" w:name="conclusion"/>
    <w:p>
      <w:pPr>
        <w:pStyle w:val="Heading2"/>
      </w:pPr>
      <w:r>
        <w:t xml:space="preserve">7. Conclusion</w:t>
      </w:r>
    </w:p>
    <w:p>
      <w:pPr>
        <w:pStyle w:val="FirstParagraph"/>
      </w:pPr>
      <w:r>
        <w:t xml:space="preserve">The role of the banker in Saudi Arabia Riyadh has fundamentally transformed from a custodian of deposits to a strategic architect of financial ecosystems. Driven by Vision 2030, regulatory innovation by SAMA, and technological disruption from fintechs, bankers must evolve continuously.</w:t>
      </w:r>
    </w:p>
    <w:p>
      <w:pPr>
        <w:pStyle w:val="BodyText"/>
      </w:pPr>
      <w:r>
        <w:t xml:space="preserve">Success in this environment requires a hybrid skill set: mastery of Islamic finance principles combined with cutting-edge digital literacy. The banker who thrives in Riyadh is not only financially savvy but also technologically adept and culturally nuanced. As Saudi Arabia Riyadh cements its status as a global economic hub, the banks that support this growth will be those that empower their bankers to innovate responsibly.</w:t>
      </w:r>
    </w:p>
    <w:p>
      <w:pPr>
        <w:pStyle w:val="BodyText"/>
      </w:pPr>
      <w:r>
        <w:t xml:space="preserve">Future research should focus on the long-term impact of AI-driven credit scoring on financial inclusion in rural areas of Saudi Arabia, ensuring that the digital transformation does not leave behind non-urban populations.</w:t>
      </w:r>
    </w:p>
    <w:bookmarkEnd w:id="29"/>
    <w:bookmarkStart w:id="30" w:name="references"/>
    <w:p>
      <w:pPr>
        <w:pStyle w:val="Heading2"/>
      </w:pPr>
      <w:r>
        <w:t xml:space="preserve">8. References</w:t>
      </w:r>
    </w:p>
    <w:p>
      <w:pPr>
        <w:numPr>
          <w:ilvl w:val="0"/>
          <w:numId w:val="1002"/>
        </w:numPr>
        <w:pStyle w:val="Compact"/>
      </w:pPr>
      <w:r>
        <w:t xml:space="preserve">Saudi Central Bank (SAMA). (2023). "Open Banking Regulatory Framework."</w:t>
      </w:r>
    </w:p>
    <w:p>
      <w:pPr>
        <w:numPr>
          <w:ilvl w:val="0"/>
          <w:numId w:val="1002"/>
        </w:numPr>
        <w:pStyle w:val="Compact"/>
      </w:pPr>
      <w:r>
        <w:t xml:space="preserve">Vision 2030 Kingdom of Saudi Arabia. "National Industrial Development and Logistics Program."</w:t>
      </w:r>
    </w:p>
    <w:p>
      <w:pPr>
        <w:numPr>
          <w:ilvl w:val="0"/>
          <w:numId w:val="1002"/>
        </w:numPr>
        <w:pStyle w:val="Compact"/>
      </w:pPr>
      <w:r>
        <w:t xml:space="preserve">Islamic Financial Services Board. (2022). "Global Islamic Banking Report: Trends and Growth Opportunities in the Gulf Cooperation Council Region."</w:t>
      </w:r>
    </w:p>
    <w:p>
      <w:pPr>
        <w:numPr>
          <w:ilvl w:val="0"/>
          <w:numId w:val="1002"/>
        </w:numPr>
        <w:pStyle w:val="Compact"/>
      </w:pPr>
      <w:r>
        <w:t xml:space="preserve">Riyadh Municipality Strategic Plan 2035. "Developing Riyadh as a Global Business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Navigating Digital Transformation in Saudi Arabia Riyadh</dc:title>
  <dc:creator/>
  <dc:language>en</dc:language>
  <cp:keywords/>
  <dcterms:created xsi:type="dcterms:W3CDTF">2026-07-29T20:28:55Z</dcterms:created>
  <dcterms:modified xsi:type="dcterms:W3CDTF">2026-07-29T20:28:55Z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