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Banker:</w:t>
      </w:r>
      <w:r>
        <w:t xml:space="preserve"> </w:t>
      </w:r>
      <w:r>
        <w:t xml:space="preserve">Strategic</w:t>
      </w:r>
      <w:r>
        <w:t xml:space="preserve"> </w:t>
      </w:r>
      <w:r>
        <w:t xml:space="preserve">Adaptations</w:t>
      </w:r>
      <w:r>
        <w:t xml:space="preserve"> </w:t>
      </w:r>
      <w:r>
        <w:t xml:space="preserve">in</w:t>
      </w:r>
      <w:r>
        <w:t xml:space="preserve"> </w:t>
      </w:r>
      <w:r>
        <w:t xml:space="preserve">the</w:t>
      </w:r>
      <w:r>
        <w:t xml:space="preserve"> </w:t>
      </w:r>
      <w:r>
        <w:t xml:space="preserve">Financial</w:t>
      </w:r>
      <w:r>
        <w:t xml:space="preserve"> </w:t>
      </w:r>
      <w:r>
        <w:t xml:space="preserve">Landscape</w:t>
      </w:r>
      <w:r>
        <w:t xml:space="preserve"> </w:t>
      </w:r>
      <w:r>
        <w:t xml:space="preserve">of</w:t>
      </w:r>
      <w:r>
        <w:t xml:space="preserve"> </w:t>
      </w:r>
      <w:r>
        <w:t xml:space="preserve">Spain</w:t>
      </w:r>
      <w:r>
        <w:t xml:space="preserve"> </w:t>
      </w:r>
      <w:r>
        <w:t xml:space="preserve">Barcelona</w:t>
      </w:r>
    </w:p>
    <w:bookmarkStart w:id="22" w:name="X1ce85555deaaba1720e6ed74443a0cde5ae2e4e"/>
    <w:p>
      <w:pPr>
        <w:pStyle w:val="Heading1"/>
      </w:pPr>
      <w:r>
        <w:t xml:space="preserve">The Modern Banker: Strategic Adaptations in the Financial Landscape of Spain Barcelona</w:t>
      </w:r>
    </w:p>
    <w:p>
      <w:pPr>
        <w:pStyle w:val="FirstParagraph"/>
      </w:pPr>
      <w:r>
        <w:rPr>
          <w:bCs/>
          <w:b/>
        </w:rPr>
        <w:t xml:space="preserve">Author:</w:t>
      </w:r>
      <w:r>
        <w:br/>
      </w:r>
      <w:r>
        <w:t xml:space="preserve">Juan Carlos Montero</w:t>
      </w:r>
      <w:r>
        <w:br/>
      </w:r>
      <w:r>
        <w:t xml:space="preserve">Institute for Mediterranean Financial Studies</w:t>
      </w:r>
      <w:r>
        <w:br/>
      </w:r>
      <w:r>
        <w:t xml:space="preserve">Date: October 2023</w:t>
      </w:r>
    </w:p>
    <w:bookmarkStart w:id="20" w:name="abstract"/>
    <w:p>
      <w:pPr>
        <w:pStyle w:val="Heading2"/>
      </w:pPr>
      <w:r>
        <w:t xml:space="preserve">Abstract</w:t>
      </w:r>
    </w:p>
    <w:p>
      <w:pPr>
        <w:pStyle w:val="FirstParagraph"/>
      </w:pPr>
      <w:r>
        <w:t xml:space="preserve">This conference paper examines the evolving role of the modern banker within the dynamic economic ecosystem of Spain, with a specific focus on Barcelona as a burgeoning fintech hub. As traditional banking models face disruption from digital innovation, regulatory shifts within the European Union, and changing consumer behaviors in Catalonia, bankers are required to transcend their historical roles as mere custodians of capital. This study analyzes how bankers in Spain Barcelona must integrate technological literacy with deep regional cultural understanding to maintain relevance and drive sustainable growth. By leveraging Barcelona’s unique position as a bridge between Northern Europe and Mediterranean markets, this paper argues that the contemporary banker serves not only as a financial advisor but also as a strategic partner in regional economic resilience.</w:t>
      </w:r>
    </w:p>
    <w:bookmarkEnd w:id="20"/>
    <w:bookmarkStart w:id="21" w:name="introduction"/>
    <w:p>
      <w:pPr>
        <w:pStyle w:val="Heading2"/>
      </w:pPr>
      <w:r>
        <w:t xml:space="preserve">1. Introduction</w:t>
      </w:r>
    </w:p>
    <w:p>
      <w:pPr>
        <w:pStyle w:val="FirstParagraph"/>
      </w:pPr>
      <w:r>
        <w:t xml:space="preserve">The financial sector has long been characterized by stability and tradition, yet the last decade has witnessed unprecedented volatility and transformation. In Spain, the recovery from the 2008 financial crisis laid the groundwork for a more robust, albeit cautious, banking sector. However, it is in cities like Barcelona where this transformation is most palpable. Known historically as a center of commerce and culture, Barcelona has rapidly emerged as one of Europe’s leading startups and fintech hubs. For the banker operating in this region, the challenges are multifaceted: they must navigate strict EU banking regulations while simultaneously competing with agile digital-only banks (neobanks) that have lower overheads and faster user onboarding processes.</w:t>
      </w:r>
    </w:p>
    <w:p>
      <w:pPr>
        <w:pStyle w:val="BodyText"/>
      </w:pPr>
      <w:r>
        <w:t xml:space="preserve">This paper posits that the archetype of the Banker is undergoing a fundamental metamorphosis. The traditional image of the banker—reserved, formal, and institution-centric—is being replaced by a profile that is tech-savvy, client-centric, and deeply embedded in the local community. We explore how bankers in Spain Barcelona are adapting to these pressures through digital integration, sustainable finance initiatives aligned with global ESG (Environmental, Social, and Governance) criteria,</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Banker: Strategic Adaptations in the Financial Landscape of Spain Barcelona</dc:title>
  <dc:creator/>
  <dc:language>en</dc:language>
  <cp:keywords/>
  <dcterms:created xsi:type="dcterms:W3CDTF">2026-07-29T14:05:51Z</dcterms:created>
  <dcterms:modified xsi:type="dcterms:W3CDTF">2026-07-29T14:05:51Z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